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D06CB40"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8D3E09">
        <w:rPr>
          <w:rFonts w:cs="B Mitra" w:hint="cs"/>
          <w:b/>
          <w:bCs/>
          <w:sz w:val="32"/>
          <w:szCs w:val="32"/>
          <w:rtl/>
          <w:lang w:bidi="fa-IR"/>
        </w:rPr>
        <w:t>8</w:t>
      </w:r>
      <w:r w:rsidR="00FB32AB">
        <w:rPr>
          <w:rFonts w:cs="B Mitra" w:hint="cs"/>
          <w:b/>
          <w:bCs/>
          <w:sz w:val="32"/>
          <w:szCs w:val="32"/>
          <w:rtl/>
          <w:lang w:bidi="fa-IR"/>
        </w:rPr>
        <w:t>1</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5B058399" w14:textId="06174B41" w:rsidR="00D27803" w:rsidRDefault="00FB32AB" w:rsidP="002B7F7E">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جلسه قبل مدعای صاحب جواهر برای توجيه مدعای شهيد در خصوص تقدّم قول زن به نحو مطلق را بيان کرديم و معلوم شد که ايشان اين مطلب را مستند به قاعده لحوق فرزند به زوج به مجرّد وطء محترم مادامی که علم يا اماره شرعی بر خلاف آن نباشد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دانند و ميان اين قاعده و قاعده «الولد للفراش»، قائل به وجود نسبت عموم و خصوص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باشند.</w:t>
      </w:r>
    </w:p>
    <w:p w14:paraId="46C2C1C1" w14:textId="77777777" w:rsidR="00FB32AB" w:rsidRPr="00FB32AB" w:rsidRDefault="00FB32AB" w:rsidP="00FB32AB">
      <w:pPr>
        <w:widowControl w:val="0"/>
        <w:bidi/>
        <w:spacing w:after="0" w:line="252" w:lineRule="auto"/>
        <w:ind w:firstLine="284"/>
        <w:jc w:val="both"/>
        <w:rPr>
          <w:rFonts w:ascii="Traditional Arabic" w:hAnsi="Traditional Arabic" w:cs="Abz-2 (Badr)"/>
          <w:color w:val="000000" w:themeColor="text1"/>
          <w:sz w:val="28"/>
          <w:szCs w:val="28"/>
          <w:lang w:bidi="fa-IR"/>
        </w:rPr>
      </w:pPr>
      <w:r w:rsidRPr="00FB32AB">
        <w:rPr>
          <w:rFonts w:ascii="Traditional Arabic" w:hAnsi="Traditional Arabic" w:cs="Abz-2 (Badr)" w:hint="cs"/>
          <w:color w:val="000000" w:themeColor="text1"/>
          <w:sz w:val="28"/>
          <w:szCs w:val="28"/>
          <w:rtl/>
          <w:lang w:bidi="fa-IR"/>
        </w:rPr>
        <w:t>اما قاعده لحوق ولد به وطء محترم مادامی که خلاف آن ثابت نشده باشد، چيزی بجز قاعده «الولد للفراش» نيست و اخص بودن قاعده «الولد للفراش» به نسبت به آن وجهی ندارد.</w:t>
      </w:r>
    </w:p>
    <w:p w14:paraId="388FF409" w14:textId="77777777" w:rsidR="00FB32AB" w:rsidRPr="00FB32AB" w:rsidRDefault="00FB32AB" w:rsidP="00FB32AB">
      <w:pPr>
        <w:widowControl w:val="0"/>
        <w:bidi/>
        <w:spacing w:after="0" w:line="252" w:lineRule="auto"/>
        <w:ind w:firstLine="284"/>
        <w:jc w:val="both"/>
        <w:rPr>
          <w:rFonts w:ascii="Traditional Arabic" w:hAnsi="Traditional Arabic" w:cs="Abz-2 (Badr)"/>
          <w:color w:val="000000" w:themeColor="text1"/>
          <w:sz w:val="28"/>
          <w:szCs w:val="28"/>
          <w:rtl/>
          <w:lang w:bidi="fa-IR"/>
        </w:rPr>
      </w:pPr>
      <w:r w:rsidRPr="00FB32AB">
        <w:rPr>
          <w:rFonts w:ascii="Traditional Arabic" w:hAnsi="Traditional Arabic" w:cs="Abz-2 (Badr)" w:hint="cs"/>
          <w:color w:val="000000" w:themeColor="text1"/>
          <w:sz w:val="28"/>
          <w:szCs w:val="28"/>
          <w:rtl/>
          <w:lang w:bidi="fa-IR"/>
        </w:rPr>
        <w:t>مگر اين که گفته شود: قاعده فراش مربوط به جايی است که احراز شده باشد که وضع حمل بيش از شش ماه و کمتر از 9 ماه به طول انجاميده در حالی که قاعده اول در موارد شک در اين امر نيز جاری است.</w:t>
      </w:r>
    </w:p>
    <w:p w14:paraId="0591DED4" w14:textId="01C503E0" w:rsidR="00FB32AB" w:rsidRPr="00FB32AB" w:rsidRDefault="00FB32AB" w:rsidP="00FB32AB">
      <w:pPr>
        <w:widowControl w:val="0"/>
        <w:bidi/>
        <w:spacing w:after="0" w:line="252" w:lineRule="auto"/>
        <w:ind w:firstLine="284"/>
        <w:jc w:val="both"/>
        <w:rPr>
          <w:rFonts w:ascii="Traditional Arabic" w:hAnsi="Traditional Arabic" w:cs="Abz-2 (Badr)"/>
          <w:color w:val="000000" w:themeColor="text1"/>
          <w:sz w:val="28"/>
          <w:szCs w:val="28"/>
          <w:rtl/>
          <w:lang w:bidi="fa-IR"/>
        </w:rPr>
      </w:pPr>
      <w:r w:rsidRPr="00FB32AB">
        <w:rPr>
          <w:rFonts w:ascii="Traditional Arabic" w:hAnsi="Traditional Arabic" w:cs="Abz-2 (Badr)" w:hint="cs"/>
          <w:color w:val="000000" w:themeColor="text1"/>
          <w:sz w:val="28"/>
          <w:szCs w:val="28"/>
          <w:rtl/>
          <w:lang w:bidi="fa-IR"/>
        </w:rPr>
        <w:t xml:space="preserve"> اما پاسخ اين است که اولا: همان گونه که سابقا گذشت، اماره فراش با شک در اين که مدت حمل چه مقدار بوده، جاری است و فقط در صورت علم به اين که کمتر از شش ماه يا بيشتر از نه ماه بوده، قابليت جريان را ندارد.</w:t>
      </w:r>
    </w:p>
    <w:p w14:paraId="481E3186" w14:textId="7E3255A1" w:rsidR="00FB32AB" w:rsidRPr="00FB32AB" w:rsidRDefault="00FB32AB" w:rsidP="00FB32AB">
      <w:pPr>
        <w:widowControl w:val="0"/>
        <w:bidi/>
        <w:spacing w:after="0" w:line="252" w:lineRule="auto"/>
        <w:ind w:firstLine="284"/>
        <w:jc w:val="both"/>
        <w:rPr>
          <w:rFonts w:ascii="Traditional Arabic" w:hAnsi="Traditional Arabic" w:cs="Abz-2 (Badr)"/>
          <w:color w:val="000000" w:themeColor="text1"/>
          <w:sz w:val="28"/>
          <w:szCs w:val="28"/>
          <w:rtl/>
          <w:lang w:bidi="fa-IR"/>
        </w:rPr>
      </w:pPr>
      <w:r w:rsidRPr="00FB32AB">
        <w:rPr>
          <w:rFonts w:ascii="Traditional Arabic" w:hAnsi="Traditional Arabic" w:cs="Abz-2 (Badr)" w:hint="cs"/>
          <w:color w:val="000000" w:themeColor="text1"/>
          <w:sz w:val="28"/>
          <w:szCs w:val="28"/>
          <w:rtl/>
          <w:lang w:bidi="fa-IR"/>
        </w:rPr>
        <w:t>و ثانيا: اگر بپذيريم که اماره فراش در موارد شک جاری نيست، وجهی برای تمسّک به قاعده</w:t>
      </w:r>
      <w:r w:rsidRPr="00FB32AB">
        <w:rPr>
          <w:rFonts w:ascii="Traditional Arabic" w:hAnsi="Traditional Arabic" w:cs="Abz-2 (Badr)" w:hint="cs"/>
          <w:color w:val="000000" w:themeColor="text1"/>
          <w:sz w:val="28"/>
          <w:szCs w:val="28"/>
          <w:rtl/>
          <w:lang w:bidi="fa-IR"/>
        </w:rPr>
        <w:softHyphen/>
        <w:t>ای که صاحب جواهر ادعا کرده است، وجود نخواهد داشت، چون مستندی برای اين قاعده وجود نخواهد داشت.</w:t>
      </w:r>
    </w:p>
    <w:p w14:paraId="495EB899" w14:textId="77777777" w:rsidR="00FB32AB" w:rsidRPr="00FB32AB" w:rsidRDefault="00FB32AB" w:rsidP="00FB32AB">
      <w:pPr>
        <w:widowControl w:val="0"/>
        <w:bidi/>
        <w:spacing w:after="0" w:line="252" w:lineRule="auto"/>
        <w:ind w:firstLine="284"/>
        <w:jc w:val="both"/>
        <w:rPr>
          <w:rFonts w:ascii="Traditional Arabic" w:hAnsi="Traditional Arabic" w:cs="Abz-2 (Badr)"/>
          <w:color w:val="000000" w:themeColor="text1"/>
          <w:sz w:val="28"/>
          <w:szCs w:val="28"/>
          <w:rtl/>
          <w:lang w:bidi="fa-IR"/>
        </w:rPr>
      </w:pPr>
      <w:r w:rsidRPr="00FB32AB">
        <w:rPr>
          <w:rFonts w:ascii="Traditional Arabic" w:hAnsi="Traditional Arabic" w:cs="Abz-2 (Badr)" w:hint="cs"/>
          <w:color w:val="000000" w:themeColor="text1"/>
          <w:sz w:val="28"/>
          <w:szCs w:val="28"/>
          <w:rtl/>
          <w:lang w:bidi="fa-IR"/>
        </w:rPr>
        <w:t>اما همان گونه که گفتيم، با وجود جريان اماره فراش در موارد شک در مقدار زمان حمل، چنانچه اين مطلب مورد نزاع باشد، نمی</w:t>
      </w:r>
      <w:r w:rsidRPr="00FB32AB">
        <w:rPr>
          <w:rFonts w:ascii="Traditional Arabic" w:hAnsi="Traditional Arabic" w:cs="Abz-2 (Badr)" w:hint="cs"/>
          <w:color w:val="000000" w:themeColor="text1"/>
          <w:sz w:val="28"/>
          <w:szCs w:val="28"/>
          <w:rtl/>
          <w:lang w:bidi="fa-IR"/>
        </w:rPr>
        <w:softHyphen/>
        <w:t>توان با تمسّک به اماره فراش قول زوجه را مقدم دانست، زيرا بازگشت مدعای زوج به اين است که مورد از موارد جريان اماره فراش نيست و نمی</w:t>
      </w:r>
      <w:r w:rsidRPr="00FB32AB">
        <w:rPr>
          <w:rFonts w:ascii="Traditional Arabic" w:hAnsi="Traditional Arabic" w:cs="Abz-2 (Badr)" w:hint="cs"/>
          <w:color w:val="000000" w:themeColor="text1"/>
          <w:sz w:val="28"/>
          <w:szCs w:val="28"/>
          <w:rtl/>
          <w:lang w:bidi="fa-IR"/>
        </w:rPr>
        <w:softHyphen/>
        <w:t xml:space="preserve">توان در جايی که جريان اماره محل نزاع است، با تمسّک به آن تکليف مدعی </w:t>
      </w:r>
      <w:r w:rsidRPr="00FB32AB">
        <w:rPr>
          <w:rFonts w:ascii="Traditional Arabic" w:hAnsi="Traditional Arabic" w:cs="Abz-2 (Badr)" w:hint="cs"/>
          <w:color w:val="000000" w:themeColor="text1"/>
          <w:sz w:val="28"/>
          <w:szCs w:val="28"/>
          <w:rtl/>
          <w:lang w:bidi="fa-IR"/>
        </w:rPr>
        <w:lastRenderedPageBreak/>
        <w:t>و منکر را معلوم نمود.</w:t>
      </w:r>
    </w:p>
    <w:p w14:paraId="51DC9408" w14:textId="77777777" w:rsidR="00FB32AB" w:rsidRPr="00FB32AB" w:rsidRDefault="00FB32AB" w:rsidP="00FB32AB">
      <w:pPr>
        <w:widowControl w:val="0"/>
        <w:bidi/>
        <w:spacing w:after="0" w:line="252" w:lineRule="auto"/>
        <w:ind w:firstLine="284"/>
        <w:jc w:val="both"/>
        <w:rPr>
          <w:rFonts w:ascii="Traditional Arabic" w:hAnsi="Traditional Arabic" w:cs="Abz-2 (Badr)"/>
          <w:color w:val="000000" w:themeColor="text1"/>
          <w:sz w:val="28"/>
          <w:szCs w:val="28"/>
          <w:rtl/>
          <w:lang w:bidi="fa-IR"/>
        </w:rPr>
      </w:pPr>
      <w:r w:rsidRPr="00FB32AB">
        <w:rPr>
          <w:rFonts w:ascii="Traditional Arabic" w:hAnsi="Traditional Arabic" w:cs="Abz-2 (Badr)" w:hint="cs"/>
          <w:color w:val="000000" w:themeColor="text1"/>
          <w:sz w:val="28"/>
          <w:szCs w:val="28"/>
          <w:rtl/>
          <w:lang w:bidi="fa-IR"/>
        </w:rPr>
        <w:t>بنابر اين در نهايت بايد گفت: در اصل تفصيل، حق با شهيد ثانی است و در جايی که نزاع در اقل مدت حمل باشد، قول زوج مقدم است و در موارد نزاع در اکثر مدت حمل، قول زوجه تقدّم دارد، هرچند بر استدلالاتی که ايشان ارائه کرده بود، اشکالاتی به تفصيلی که گذشت، وارد است.</w:t>
      </w:r>
    </w:p>
    <w:p w14:paraId="1627D791" w14:textId="77777777" w:rsidR="00FB32AB" w:rsidRPr="00FB32AB" w:rsidRDefault="00FB32AB" w:rsidP="00FB32AB">
      <w:pPr>
        <w:widowControl w:val="0"/>
        <w:bidi/>
        <w:spacing w:after="0" w:line="252" w:lineRule="auto"/>
        <w:ind w:firstLine="284"/>
        <w:jc w:val="both"/>
        <w:rPr>
          <w:rFonts w:ascii="Traditional Arabic" w:hAnsi="Traditional Arabic" w:cs="Abz-2 (Badr)"/>
          <w:b/>
          <w:bCs/>
          <w:color w:val="000000" w:themeColor="text1"/>
          <w:sz w:val="28"/>
          <w:szCs w:val="28"/>
          <w:rtl/>
          <w:lang w:bidi="fa-IR"/>
        </w:rPr>
      </w:pPr>
      <w:r w:rsidRPr="00FB32AB">
        <w:rPr>
          <w:rFonts w:ascii="Traditional Arabic" w:hAnsi="Traditional Arabic" w:cs="Abz-2 (Badr)" w:hint="cs"/>
          <w:color w:val="000000" w:themeColor="text1"/>
          <w:sz w:val="28"/>
          <w:szCs w:val="28"/>
          <w:rtl/>
          <w:lang w:bidi="fa-IR"/>
        </w:rPr>
        <w:t>و در هر حال وجهی برای مدعای محقق مبنی بر عدم جريان قواعد دعوی و جريان ملاعنه بين زوجين وجود ندارد، چون ملاعنه در جايی ثابت است که مدعای زوج نفی ولد باشد که هيچ يک از طرفين امکان اقامه بينه بر مدعای خود را در خصوص آن ندارند، نه نفی سبب لحوق ولد.</w:t>
      </w:r>
    </w:p>
    <w:p w14:paraId="2B9575D5" w14:textId="144BA057" w:rsidR="00763F19" w:rsidRPr="00763F19" w:rsidRDefault="00763F19" w:rsidP="00763F19">
      <w:pPr>
        <w:widowControl w:val="0"/>
        <w:bidi/>
        <w:spacing w:after="0" w:line="252" w:lineRule="auto"/>
        <w:ind w:left="1701" w:firstLine="284"/>
        <w:jc w:val="both"/>
        <w:rPr>
          <w:rFonts w:ascii="Traditional Arabic" w:hAnsi="Traditional Arabic" w:cs="Abz-2 (Badr)"/>
          <w:b/>
          <w:bCs/>
          <w:color w:val="00B050"/>
          <w:sz w:val="28"/>
          <w:szCs w:val="28"/>
          <w:lang w:bidi="fa-IR"/>
        </w:rPr>
      </w:pPr>
      <w:r w:rsidRPr="00763F19">
        <w:rPr>
          <w:rFonts w:ascii="Traditional Arabic" w:hAnsi="Traditional Arabic" w:cs="Abz-2 (Badr)" w:hint="cs"/>
          <w:b/>
          <w:bCs/>
          <w:color w:val="00B050"/>
          <w:sz w:val="28"/>
          <w:szCs w:val="28"/>
          <w:rtl/>
          <w:lang w:bidi="fa-IR"/>
        </w:rPr>
        <w:t xml:space="preserve">قال المحقّق الحلّي: </w:t>
      </w:r>
      <w:r w:rsidRPr="00763F19">
        <w:rPr>
          <w:rFonts w:ascii="Traditional Arabic" w:hAnsi="Traditional Arabic" w:cs="Abz-2 (Badr)" w:hint="cs"/>
          <w:color w:val="00B050"/>
          <w:sz w:val="28"/>
          <w:szCs w:val="28"/>
          <w:rtl/>
          <w:lang w:bidi="fa-IR"/>
        </w:rPr>
        <w:t>«</w:t>
      </w:r>
      <w:r w:rsidRPr="00763F19">
        <w:rPr>
          <w:rFonts w:ascii="Traditional Arabic" w:hAnsi="Traditional Arabic" w:cs="Abz-2 (Badr)"/>
          <w:b/>
          <w:bCs/>
          <w:color w:val="00B050"/>
          <w:sz w:val="28"/>
          <w:szCs w:val="28"/>
          <w:rtl/>
          <w:lang w:bidi="ar"/>
        </w:rPr>
        <w:t>ولو طل</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قها فاعتد</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ت ثم</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 xml:space="preserve"> جاءت بولد ما بين الفراق إلى أقصى مد</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ة الحمل</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 xml:space="preserve"> لحق به إذا لم توطأ بعقد ولا شبهة.</w:t>
      </w:r>
    </w:p>
    <w:p w14:paraId="1FD63A88" w14:textId="1D0E9A19" w:rsidR="00763F19" w:rsidRPr="00763F19" w:rsidRDefault="00763F19" w:rsidP="00763F19">
      <w:pPr>
        <w:widowControl w:val="0"/>
        <w:bidi/>
        <w:spacing w:after="0" w:line="252" w:lineRule="auto"/>
        <w:ind w:left="1701" w:firstLine="284"/>
        <w:jc w:val="both"/>
        <w:rPr>
          <w:rFonts w:ascii="Traditional Arabic" w:hAnsi="Traditional Arabic" w:cs="Abz-2 (Badr)"/>
          <w:b/>
          <w:bCs/>
          <w:color w:val="00B050"/>
          <w:sz w:val="28"/>
          <w:szCs w:val="28"/>
          <w:rtl/>
          <w:lang w:bidi="ar"/>
        </w:rPr>
      </w:pPr>
      <w:r w:rsidRPr="00763F19">
        <w:rPr>
          <w:rFonts w:ascii="Traditional Arabic" w:hAnsi="Traditional Arabic" w:cs="Abz-2 (Badr)"/>
          <w:b/>
          <w:bCs/>
          <w:color w:val="00B050"/>
          <w:sz w:val="28"/>
          <w:szCs w:val="28"/>
          <w:rtl/>
          <w:lang w:bidi="ar"/>
        </w:rPr>
        <w:t>ولو زنى بامرأة فأحبلها ثم</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 xml:space="preserve"> تزو</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ج بها</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 xml:space="preserve"> لم يجز إلحاقه به</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 xml:space="preserve"> وكذا لو زنى بأمة فحملت ثم</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 xml:space="preserve"> ابتاعها.</w:t>
      </w:r>
      <w:r w:rsidRPr="00763F19">
        <w:rPr>
          <w:rFonts w:ascii="Traditional Arabic" w:hAnsi="Traditional Arabic" w:cs="Abz-2 (Badr)" w:hint="cs"/>
          <w:b/>
          <w:bCs/>
          <w:color w:val="00B050"/>
          <w:sz w:val="28"/>
          <w:szCs w:val="28"/>
          <w:rtl/>
          <w:lang w:bidi="ar"/>
        </w:rPr>
        <w:t>..</w:t>
      </w:r>
    </w:p>
    <w:p w14:paraId="4FC87FE6" w14:textId="6AB32778" w:rsidR="00763F19" w:rsidRPr="00763F19" w:rsidRDefault="00763F19" w:rsidP="00763F19">
      <w:pPr>
        <w:widowControl w:val="0"/>
        <w:bidi/>
        <w:spacing w:after="0" w:line="252" w:lineRule="auto"/>
        <w:ind w:left="1701" w:firstLine="284"/>
        <w:jc w:val="both"/>
        <w:rPr>
          <w:rFonts w:ascii="Traditional Arabic" w:hAnsi="Traditional Arabic" w:cs="Abz-2 (Badr)"/>
          <w:b/>
          <w:bCs/>
          <w:color w:val="00B050"/>
          <w:sz w:val="28"/>
          <w:szCs w:val="28"/>
          <w:rtl/>
          <w:lang w:bidi="fa-IR"/>
        </w:rPr>
      </w:pPr>
      <w:r w:rsidRPr="00763F19">
        <w:rPr>
          <w:rFonts w:ascii="Traditional Arabic" w:hAnsi="Traditional Arabic" w:cs="Abz-2 (Badr)"/>
          <w:b/>
          <w:bCs/>
          <w:color w:val="00B050"/>
          <w:sz w:val="28"/>
          <w:szCs w:val="28"/>
          <w:rtl/>
          <w:lang w:bidi="ar"/>
        </w:rPr>
        <w:t>ولو طل</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ق امرأته فاعتد</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ت وتزو</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جت أو باع أمته فوطئها المشتري ثم</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 xml:space="preserve"> جاءت بولد لدون ست</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ة أشهر كاملا</w:t>
      </w:r>
      <w:r w:rsidR="00630C19">
        <w:rPr>
          <w:rFonts w:ascii="Traditional Arabic" w:hAnsi="Traditional Arabic" w:cs="Abz-2 (Badr)" w:hint="cs"/>
          <w:b/>
          <w:bCs/>
          <w:color w:val="00B050"/>
          <w:sz w:val="28"/>
          <w:szCs w:val="28"/>
          <w:rtl/>
          <w:lang w:bidi="ar"/>
        </w:rPr>
        <w:t>ً</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 xml:space="preserve"> فهو للأو</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ل</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 xml:space="preserve"> وإن كان لست</w:t>
      </w:r>
      <w:r w:rsidRPr="00763F19">
        <w:rPr>
          <w:rFonts w:ascii="Traditional Arabic" w:hAnsi="Traditional Arabic" w:cs="Abz-2 (Badr)" w:hint="cs"/>
          <w:b/>
          <w:bCs/>
          <w:color w:val="00B050"/>
          <w:sz w:val="28"/>
          <w:szCs w:val="28"/>
          <w:rtl/>
          <w:lang w:bidi="ar"/>
        </w:rPr>
        <w:t>ّ</w:t>
      </w:r>
      <w:r w:rsidRPr="00763F19">
        <w:rPr>
          <w:rFonts w:ascii="Traditional Arabic" w:hAnsi="Traditional Arabic" w:cs="Abz-2 (Badr)"/>
          <w:b/>
          <w:bCs/>
          <w:color w:val="00B050"/>
          <w:sz w:val="28"/>
          <w:szCs w:val="28"/>
          <w:rtl/>
          <w:lang w:bidi="ar"/>
        </w:rPr>
        <w:t>ة فصاعدا فهو للثاني.</w:t>
      </w:r>
      <w:r w:rsidRPr="00763F19">
        <w:rPr>
          <w:rFonts w:ascii="Traditional Arabic" w:hAnsi="Traditional Arabic" w:cs="Abz-2 (Badr)" w:hint="cs"/>
          <w:color w:val="00B050"/>
          <w:sz w:val="28"/>
          <w:szCs w:val="28"/>
          <w:rtl/>
          <w:lang w:bidi="ar"/>
        </w:rPr>
        <w:t>»</w:t>
      </w:r>
      <w:r w:rsidRPr="00715C13">
        <w:rPr>
          <w:rStyle w:val="FootnoteReference"/>
          <w:rFonts w:ascii="Traditional Arabic" w:hAnsi="Traditional Arabic" w:cs="Abz-2 (Badr)"/>
          <w:color w:val="000000" w:themeColor="text1"/>
          <w:sz w:val="28"/>
          <w:szCs w:val="28"/>
          <w:rtl/>
          <w:lang w:bidi="ar"/>
        </w:rPr>
        <w:footnoteReference w:id="1"/>
      </w:r>
    </w:p>
    <w:p w14:paraId="6E7992C0" w14:textId="77777777" w:rsidR="00763F19" w:rsidRDefault="00763F19" w:rsidP="00763F19">
      <w:pPr>
        <w:widowControl w:val="0"/>
        <w:bidi/>
        <w:spacing w:after="0" w:line="252" w:lineRule="auto"/>
        <w:ind w:firstLine="284"/>
        <w:jc w:val="both"/>
        <w:rPr>
          <w:rFonts w:ascii="Traditional Arabic" w:hAnsi="Traditional Arabic" w:cs="Abz-2 (Badr)"/>
          <w:color w:val="000000" w:themeColor="text1"/>
          <w:sz w:val="28"/>
          <w:szCs w:val="28"/>
          <w:rtl/>
          <w:lang w:bidi="fa-IR"/>
        </w:rPr>
      </w:pPr>
    </w:p>
    <w:p w14:paraId="31B11411" w14:textId="02BFE0F4" w:rsidR="00763F19" w:rsidRDefault="00715C13" w:rsidP="00763F19">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سه مسأله در اين جا مطرح است:</w:t>
      </w:r>
    </w:p>
    <w:p w14:paraId="3A1946F9" w14:textId="1FF74D80" w:rsidR="00715C13" w:rsidRPr="00CB7288" w:rsidRDefault="00715C13" w:rsidP="00715C13">
      <w:pPr>
        <w:widowControl w:val="0"/>
        <w:bidi/>
        <w:spacing w:after="0" w:line="252" w:lineRule="auto"/>
        <w:ind w:firstLine="284"/>
        <w:jc w:val="both"/>
        <w:rPr>
          <w:rFonts w:ascii="Traditional Arabic" w:hAnsi="Traditional Arabic" w:cs="Abz-2 (Badr)"/>
          <w:color w:val="C45911" w:themeColor="accent2" w:themeShade="BF"/>
          <w:sz w:val="28"/>
          <w:szCs w:val="28"/>
          <w:rtl/>
          <w:lang w:bidi="fa-IR"/>
        </w:rPr>
      </w:pPr>
      <w:r w:rsidRPr="00CB7288">
        <w:rPr>
          <w:rFonts w:ascii="Traditional Arabic" w:hAnsi="Traditional Arabic" w:cs="Abz-2 (Badr)" w:hint="cs"/>
          <w:color w:val="C45911" w:themeColor="accent2" w:themeShade="BF"/>
          <w:sz w:val="28"/>
          <w:szCs w:val="28"/>
          <w:rtl/>
          <w:lang w:bidi="fa-IR"/>
        </w:rPr>
        <w:t>اول: لحوق فرزند به زوج بعد از طلاق و انقضاء عده وبدون وطء محترم ديگر</w:t>
      </w:r>
    </w:p>
    <w:p w14:paraId="4B0A2A5F" w14:textId="1C0A779E" w:rsidR="00715C13" w:rsidRPr="00715C13" w:rsidRDefault="00715C13" w:rsidP="00715C13">
      <w:pPr>
        <w:widowControl w:val="0"/>
        <w:bidi/>
        <w:spacing w:after="0" w:line="252"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صاحب جواهر در خصوص اين مسأله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715C13">
        <w:rPr>
          <w:rFonts w:ascii="Traditional Arabic" w:hAnsi="Traditional Arabic" w:cs="Abz-2 (Badr)" w:hint="cs"/>
          <w:color w:val="0070C0"/>
          <w:sz w:val="28"/>
          <w:szCs w:val="28"/>
          <w:rtl/>
          <w:lang w:bidi="fa-IR"/>
        </w:rPr>
        <w:t>«</w:t>
      </w:r>
      <w:r w:rsidRPr="00715C13">
        <w:rPr>
          <w:rFonts w:ascii="Traditional Arabic" w:hAnsi="Traditional Arabic" w:cs="Abz-2 (Badr)"/>
          <w:color w:val="0070C0"/>
          <w:sz w:val="28"/>
          <w:szCs w:val="28"/>
          <w:rtl/>
          <w:lang w:bidi="ar"/>
        </w:rPr>
        <w:t>لحق به الولد إذا لم توطأ بعقد ولا شبهة وإن وطئت زنا</w:t>
      </w:r>
      <w:r w:rsidRPr="00715C13">
        <w:rPr>
          <w:rFonts w:ascii="Traditional Arabic" w:hAnsi="Traditional Arabic" w:cs="Abz-2 (Badr)" w:hint="cs"/>
          <w:color w:val="0070C0"/>
          <w:sz w:val="28"/>
          <w:szCs w:val="28"/>
          <w:rtl/>
          <w:lang w:bidi="ar"/>
        </w:rPr>
        <w:t>،</w:t>
      </w:r>
      <w:r w:rsidRPr="00715C13">
        <w:rPr>
          <w:rFonts w:ascii="Traditional Arabic" w:hAnsi="Traditional Arabic" w:cs="Abz-2 (Badr)"/>
          <w:color w:val="0070C0"/>
          <w:sz w:val="28"/>
          <w:szCs w:val="28"/>
          <w:rtl/>
          <w:lang w:bidi="ar"/>
        </w:rPr>
        <w:t xml:space="preserve"> بلا خلاف ولا إشكال، لأن</w:t>
      </w:r>
      <w:r w:rsidRPr="00715C13">
        <w:rPr>
          <w:rFonts w:ascii="Traditional Arabic" w:hAnsi="Traditional Arabic" w:cs="Abz-2 (Badr)" w:hint="cs"/>
          <w:color w:val="0070C0"/>
          <w:sz w:val="28"/>
          <w:szCs w:val="28"/>
          <w:rtl/>
          <w:lang w:bidi="ar"/>
        </w:rPr>
        <w:t>ّ</w:t>
      </w:r>
      <w:r w:rsidRPr="00715C13">
        <w:rPr>
          <w:rFonts w:ascii="Traditional Arabic" w:hAnsi="Traditional Arabic" w:cs="Abz-2 (Badr)"/>
          <w:color w:val="0070C0"/>
          <w:sz w:val="28"/>
          <w:szCs w:val="28"/>
          <w:rtl/>
          <w:lang w:bidi="ar"/>
        </w:rPr>
        <w:t>ها فراشه ولم يلحقها فراش آخر يشاركه في الولد، بل بناء على ما ذكرنا يلحق به أيضا لو لم يعلم الحال، لقاعدة الفراش أيضا</w:t>
      </w:r>
      <w:r w:rsidRPr="00715C13">
        <w:rPr>
          <w:rFonts w:ascii="Traditional Arabic" w:hAnsi="Traditional Arabic" w:cs="Abz-2 (Badr)" w:hint="cs"/>
          <w:color w:val="0070C0"/>
          <w:sz w:val="28"/>
          <w:szCs w:val="28"/>
          <w:rtl/>
          <w:lang w:bidi="ar"/>
        </w:rPr>
        <w:t>.</w:t>
      </w:r>
      <w:r w:rsidRPr="00715C13">
        <w:rPr>
          <w:rFonts w:ascii="Traditional Arabic" w:hAnsi="Traditional Arabic" w:cs="Abz-2 (Badr)"/>
          <w:color w:val="0070C0"/>
          <w:sz w:val="28"/>
          <w:szCs w:val="28"/>
          <w:rtl/>
          <w:lang w:bidi="ar"/>
        </w:rPr>
        <w:t xml:space="preserve"> نعم</w:t>
      </w:r>
      <w:r w:rsidRPr="00715C13">
        <w:rPr>
          <w:rFonts w:ascii="Traditional Arabic" w:hAnsi="Traditional Arabic" w:cs="Abz-2 (Badr)" w:hint="cs"/>
          <w:color w:val="0070C0"/>
          <w:sz w:val="28"/>
          <w:szCs w:val="28"/>
          <w:rtl/>
          <w:lang w:bidi="ar"/>
        </w:rPr>
        <w:t>،</w:t>
      </w:r>
      <w:r w:rsidRPr="00715C13">
        <w:rPr>
          <w:rFonts w:ascii="Traditional Arabic" w:hAnsi="Traditional Arabic" w:cs="Abz-2 (Badr)"/>
          <w:color w:val="0070C0"/>
          <w:sz w:val="28"/>
          <w:szCs w:val="28"/>
          <w:rtl/>
          <w:lang w:bidi="ar"/>
        </w:rPr>
        <w:t xml:space="preserve"> لو كان بدون الأقل</w:t>
      </w:r>
      <w:r w:rsidRPr="00715C13">
        <w:rPr>
          <w:rFonts w:ascii="Traditional Arabic" w:hAnsi="Traditional Arabic" w:cs="Abz-2 (Badr)" w:hint="cs"/>
          <w:color w:val="0070C0"/>
          <w:sz w:val="28"/>
          <w:szCs w:val="28"/>
          <w:rtl/>
          <w:lang w:bidi="ar"/>
        </w:rPr>
        <w:t>ّ</w:t>
      </w:r>
      <w:r w:rsidRPr="00715C13">
        <w:rPr>
          <w:rFonts w:ascii="Traditional Arabic" w:hAnsi="Traditional Arabic" w:cs="Abz-2 (Badr)"/>
          <w:color w:val="0070C0"/>
          <w:sz w:val="28"/>
          <w:szCs w:val="28"/>
          <w:rtl/>
          <w:lang w:bidi="ar"/>
        </w:rPr>
        <w:t xml:space="preserve"> أو الأزيد من الأقصى</w:t>
      </w:r>
      <w:r w:rsidRPr="00715C13">
        <w:rPr>
          <w:rFonts w:ascii="Traditional Arabic" w:hAnsi="Traditional Arabic" w:cs="Abz-2 (Badr)" w:hint="cs"/>
          <w:color w:val="0070C0"/>
          <w:sz w:val="28"/>
          <w:szCs w:val="28"/>
          <w:rtl/>
          <w:lang w:bidi="ar"/>
        </w:rPr>
        <w:t>،</w:t>
      </w:r>
      <w:r w:rsidRPr="00715C13">
        <w:rPr>
          <w:rFonts w:ascii="Traditional Arabic" w:hAnsi="Traditional Arabic" w:cs="Abz-2 (Badr)"/>
          <w:color w:val="0070C0"/>
          <w:sz w:val="28"/>
          <w:szCs w:val="28"/>
          <w:rtl/>
          <w:lang w:bidi="ar"/>
        </w:rPr>
        <w:t xml:space="preserve"> انتفى عنه قطعا.</w:t>
      </w:r>
      <w:r w:rsidRPr="00715C13">
        <w:rPr>
          <w:rFonts w:ascii="Traditional Arabic" w:hAnsi="Traditional Arabic" w:cs="Abz-2 (Badr)" w:hint="cs"/>
          <w:color w:val="0070C0"/>
          <w:sz w:val="28"/>
          <w:szCs w:val="28"/>
          <w:rtl/>
          <w:lang w:bidi="ar"/>
        </w:rPr>
        <w:t>»</w:t>
      </w:r>
      <w:r w:rsidRPr="00715C13">
        <w:rPr>
          <w:rStyle w:val="FootnoteReference"/>
          <w:rFonts w:ascii="Traditional Arabic" w:hAnsi="Traditional Arabic" w:cs="Abz-2 (Badr)"/>
          <w:color w:val="000000" w:themeColor="text1"/>
          <w:sz w:val="28"/>
          <w:szCs w:val="28"/>
          <w:rtl/>
          <w:lang w:bidi="ar"/>
        </w:rPr>
        <w:footnoteReference w:id="2"/>
      </w:r>
    </w:p>
    <w:p w14:paraId="51D87DC0" w14:textId="308E0DA3" w:rsidR="00715C13" w:rsidRDefault="00CB7288" w:rsidP="00715C13">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lastRenderedPageBreak/>
        <w:t>حق نيز در اين مسأله با ايشان است</w:t>
      </w:r>
      <w:r w:rsidR="00B404DB">
        <w:rPr>
          <w:rFonts w:ascii="Traditional Arabic" w:hAnsi="Traditional Arabic" w:cs="Abz-2 (Badr)" w:hint="cs"/>
          <w:color w:val="000000" w:themeColor="text1"/>
          <w:sz w:val="28"/>
          <w:szCs w:val="28"/>
          <w:rtl/>
          <w:lang w:bidi="fa-IR"/>
        </w:rPr>
        <w:t>.</w:t>
      </w:r>
    </w:p>
    <w:p w14:paraId="20C30EB9" w14:textId="61F613BB" w:rsidR="00E9668D" w:rsidRPr="00E9668D" w:rsidRDefault="00E9668D" w:rsidP="00E9668D">
      <w:pPr>
        <w:widowControl w:val="0"/>
        <w:bidi/>
        <w:spacing w:after="0" w:line="252" w:lineRule="auto"/>
        <w:ind w:firstLine="284"/>
        <w:jc w:val="both"/>
        <w:rPr>
          <w:rFonts w:ascii="Traditional Arabic" w:hAnsi="Traditional Arabic" w:cs="Abz-2 (Badr)"/>
          <w:color w:val="C45911" w:themeColor="accent2" w:themeShade="BF"/>
          <w:sz w:val="28"/>
          <w:szCs w:val="28"/>
          <w:rtl/>
          <w:lang w:bidi="fa-IR"/>
        </w:rPr>
      </w:pPr>
      <w:r w:rsidRPr="00E9668D">
        <w:rPr>
          <w:rFonts w:ascii="Traditional Arabic" w:hAnsi="Traditional Arabic" w:cs="Abz-2 (Badr)" w:hint="cs"/>
          <w:color w:val="C45911" w:themeColor="accent2" w:themeShade="BF"/>
          <w:sz w:val="28"/>
          <w:szCs w:val="28"/>
          <w:rtl/>
          <w:lang w:bidi="fa-IR"/>
        </w:rPr>
        <w:t>دوم: عدم لحوق فرزند متکوّن از زنا ولو بعد از نکاح زانی با مادر او</w:t>
      </w:r>
    </w:p>
    <w:p w14:paraId="2107AD54" w14:textId="3CA46241" w:rsidR="00E9668D" w:rsidRDefault="00E9668D" w:rsidP="00E9668D">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اگر مردی با زنی زنا کرده و علم به اين مطلب پيدا کند که از اين عمل فرزندی متکوّن شده است و سپس با آن زن ازدواج کند و بعد از نکاح، فرزند متولّد شود،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تواند آن فرزند را به خود ملحق نمايد ـ به اين معنا که جميع احکام ولد حلال را بر او مترتب نمايد ـ و دليل آن نيز اين است که همان گونه که گذتش، اماره فراش مادامی جاری است که علم بر خلاف آن وجود نداشته باشد و با وجود علم مرد به اين که فرزند متکوّن از زناست، وجهی برای جريان اماره فراش وجود ندارد.</w:t>
      </w:r>
    </w:p>
    <w:p w14:paraId="5218BD53" w14:textId="30F1499C" w:rsidR="00DF0910" w:rsidRDefault="00DF0910" w:rsidP="004A443D">
      <w:pPr>
        <w:widowControl w:val="0"/>
        <w:bidi/>
        <w:spacing w:after="0" w:line="252" w:lineRule="auto"/>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علا</w:t>
      </w:r>
      <w:r w:rsidR="00EC220B">
        <w:rPr>
          <w:rFonts w:ascii="Traditional Arabic" w:hAnsi="Traditional Arabic" w:cs="Abz-2 (Badr)" w:hint="cs"/>
          <w:color w:val="000000" w:themeColor="text1"/>
          <w:sz w:val="28"/>
          <w:szCs w:val="28"/>
          <w:rtl/>
          <w:lang w:bidi="ar"/>
        </w:rPr>
        <w:t>و</w:t>
      </w:r>
      <w:r>
        <w:rPr>
          <w:rFonts w:ascii="Traditional Arabic" w:hAnsi="Traditional Arabic" w:cs="Abz-2 (Badr)" w:hint="cs"/>
          <w:color w:val="000000" w:themeColor="text1"/>
          <w:sz w:val="28"/>
          <w:szCs w:val="28"/>
          <w:rtl/>
          <w:lang w:bidi="ar"/>
        </w:rPr>
        <w:t>ه بر اين که در روايتی نيز به اين مطلب تصريح شده است:</w:t>
      </w:r>
    </w:p>
    <w:p w14:paraId="0DCA82E7" w14:textId="3C353BB5" w:rsidR="004A443D" w:rsidRDefault="00DF0910" w:rsidP="00DF0910">
      <w:pPr>
        <w:widowControl w:val="0"/>
        <w:bidi/>
        <w:spacing w:after="0" w:line="252" w:lineRule="auto"/>
        <w:ind w:firstLine="284"/>
        <w:jc w:val="both"/>
        <w:rPr>
          <w:rFonts w:ascii="Traditional Arabic" w:hAnsi="Traditional Arabic" w:cs="Abz-2 (Badr)"/>
          <w:color w:val="70AD47" w:themeColor="accent6"/>
          <w:sz w:val="28"/>
          <w:szCs w:val="28"/>
          <w:rtl/>
          <w:lang w:bidi="ar"/>
        </w:rPr>
      </w:pPr>
      <w:r>
        <w:rPr>
          <w:rFonts w:ascii="Traditional Arabic" w:hAnsi="Traditional Arabic" w:cs="Abz-2 (Badr)" w:hint="cs"/>
          <w:color w:val="000000" w:themeColor="text1"/>
          <w:sz w:val="28"/>
          <w:szCs w:val="28"/>
          <w:rtl/>
          <w:lang w:bidi="ar"/>
        </w:rPr>
        <w:t xml:space="preserve">وهو </w:t>
      </w:r>
      <w:r w:rsidR="004A443D">
        <w:rPr>
          <w:rFonts w:ascii="Traditional Arabic" w:hAnsi="Traditional Arabic" w:cs="Abz-2 (Badr)" w:hint="cs"/>
          <w:color w:val="000000" w:themeColor="text1"/>
          <w:sz w:val="28"/>
          <w:szCs w:val="28"/>
          <w:rtl/>
          <w:lang w:bidi="ar"/>
        </w:rPr>
        <w:t xml:space="preserve">ما رواه الشيخ بإسناده عن </w:t>
      </w:r>
      <w:r w:rsidR="004A443D" w:rsidRPr="004A443D">
        <w:rPr>
          <w:rFonts w:ascii="Traditional Arabic" w:hAnsi="Traditional Arabic" w:cs="Abz-2 (Badr)"/>
          <w:color w:val="000000" w:themeColor="text1"/>
          <w:sz w:val="28"/>
          <w:szCs w:val="28"/>
          <w:rtl/>
          <w:lang w:bidi="ar"/>
        </w:rPr>
        <w:t>محمّد بن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الحسن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الصفّار</w:t>
      </w:r>
      <w:r w:rsidR="004A443D">
        <w:rPr>
          <w:rFonts w:ascii="Traditional Arabic" w:hAnsi="Traditional Arabic" w:cs="Abz-2 (Badr)" w:hint="cs"/>
          <w:color w:val="000000" w:themeColor="text1"/>
          <w:sz w:val="28"/>
          <w:szCs w:val="28"/>
          <w:rtl/>
          <w:lang w:bidi="ar"/>
        </w:rPr>
        <w:t>،</w:t>
      </w:r>
      <w:r w:rsidR="004A443D" w:rsidRPr="004A443D">
        <w:rPr>
          <w:rFonts w:ascii="Traditional Arabic" w:hAnsi="Traditional Arabic" w:cs="Abz-2 (Badr)"/>
          <w:color w:val="000000" w:themeColor="text1"/>
          <w:sz w:val="28"/>
          <w:szCs w:val="28"/>
          <w:rtl/>
          <w:lang w:bidi="ar"/>
        </w:rPr>
        <w:t xml:space="preserve"> عن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أحمد بن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محمّد</w:t>
      </w:r>
      <w:r w:rsidR="004A443D">
        <w:rPr>
          <w:rFonts w:ascii="Traditional Arabic" w:hAnsi="Traditional Arabic" w:cs="Abz-2 (Badr)" w:hint="cs"/>
          <w:color w:val="000000" w:themeColor="text1"/>
          <w:sz w:val="28"/>
          <w:szCs w:val="28"/>
          <w:rtl/>
          <w:lang w:bidi="ar"/>
        </w:rPr>
        <w:t>،</w:t>
      </w:r>
      <w:r w:rsidR="004A443D" w:rsidRPr="004A443D">
        <w:rPr>
          <w:rFonts w:ascii="Traditional Arabic" w:hAnsi="Traditional Arabic" w:cs="Abz-2 (Badr)"/>
          <w:color w:val="000000" w:themeColor="text1"/>
          <w:sz w:val="28"/>
          <w:szCs w:val="28"/>
          <w:rtl/>
          <w:lang w:bidi="ar"/>
        </w:rPr>
        <w:t xml:space="preserve"> عن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علي</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بن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مهزيار</w:t>
      </w:r>
      <w:r w:rsidR="004A443D">
        <w:rPr>
          <w:rFonts w:ascii="Traditional Arabic" w:hAnsi="Traditional Arabic" w:cs="Abz-2 (Badr)" w:hint="cs"/>
          <w:color w:val="000000" w:themeColor="text1"/>
          <w:sz w:val="28"/>
          <w:szCs w:val="28"/>
          <w:rtl/>
          <w:lang w:bidi="ar"/>
        </w:rPr>
        <w:t>،</w:t>
      </w:r>
      <w:r w:rsidR="004A443D" w:rsidRPr="004A443D">
        <w:rPr>
          <w:rFonts w:ascii="Traditional Arabic" w:hAnsi="Traditional Arabic" w:cs="Abz-2 (Badr)"/>
          <w:color w:val="000000" w:themeColor="text1"/>
          <w:sz w:val="28"/>
          <w:szCs w:val="28"/>
          <w:rtl/>
          <w:lang w:bidi="ar"/>
        </w:rPr>
        <w:t xml:space="preserve"> عن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محمّد بن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الحسن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القمّي</w:t>
      </w:r>
      <w:r w:rsidR="004A443D">
        <w:rPr>
          <w:rFonts w:ascii="Traditional Arabic" w:hAnsi="Traditional Arabic" w:cs="Abz-2 (Badr)" w:hint="cs"/>
          <w:color w:val="000000" w:themeColor="text1"/>
          <w:sz w:val="28"/>
          <w:szCs w:val="28"/>
          <w:rtl/>
          <w:lang w:bidi="ar"/>
        </w:rPr>
        <w:t>،</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 xml:space="preserve">قال: </w:t>
      </w:r>
      <w:r w:rsidR="004A443D" w:rsidRPr="004A443D">
        <w:rPr>
          <w:rFonts w:ascii="Traditional Arabic" w:hAnsi="Traditional Arabic" w:cs="Abz-2 (Badr)" w:hint="cs"/>
          <w:color w:val="70AD47" w:themeColor="accent6"/>
          <w:sz w:val="28"/>
          <w:szCs w:val="28"/>
          <w:rtl/>
          <w:lang w:bidi="ar"/>
        </w:rPr>
        <w:t>«</w:t>
      </w:r>
      <w:r w:rsidR="004A443D" w:rsidRPr="004A443D">
        <w:rPr>
          <w:rFonts w:ascii="Traditional Arabic" w:hAnsi="Traditional Arabic" w:cs="Abz-2 (Badr)"/>
          <w:color w:val="70AD47" w:themeColor="accent6"/>
          <w:sz w:val="28"/>
          <w:szCs w:val="28"/>
          <w:rtl/>
          <w:lang w:bidi="ar"/>
        </w:rPr>
        <w:t>كتب بعض أصحابنا على يدي إلى أبي جعفر</w:t>
      </w:r>
      <w:r w:rsidR="004A443D" w:rsidRPr="004A443D">
        <w:rPr>
          <w:rFonts w:ascii="Traditional Arabic" w:hAnsi="Traditional Arabic" w:cs="Abz-2 (Badr)" w:hint="cs"/>
          <w:color w:val="70AD47" w:themeColor="accent6"/>
          <w:sz w:val="28"/>
          <w:szCs w:val="28"/>
          <w:rtl/>
          <w:lang w:bidi="ar"/>
        </w:rPr>
        <w:t>(ع):</w:t>
      </w:r>
      <w:r w:rsidR="004A443D" w:rsidRPr="004A443D">
        <w:rPr>
          <w:rFonts w:ascii="Traditional Arabic" w:hAnsi="Traditional Arabic" w:cs="Abz-2 (Badr)"/>
          <w:color w:val="70AD47" w:themeColor="accent6"/>
          <w:sz w:val="28"/>
          <w:szCs w:val="28"/>
          <w:rtl/>
          <w:lang w:bidi="ar"/>
        </w:rPr>
        <w:t xml:space="preserve"> جعلت فداك</w:t>
      </w:r>
      <w:r w:rsidR="004A443D" w:rsidRPr="004A443D">
        <w:rPr>
          <w:rFonts w:ascii="Traditional Arabic" w:hAnsi="Traditional Arabic" w:cs="Abz-2 (Badr)" w:hint="cs"/>
          <w:color w:val="70AD47" w:themeColor="accent6"/>
          <w:sz w:val="28"/>
          <w:szCs w:val="28"/>
          <w:rtl/>
          <w:lang w:bidi="ar"/>
        </w:rPr>
        <w:t>!</w:t>
      </w:r>
      <w:r w:rsidR="004A443D" w:rsidRPr="004A443D">
        <w:rPr>
          <w:rFonts w:ascii="Traditional Arabic" w:hAnsi="Traditional Arabic" w:cs="Abz-2 (Badr)"/>
          <w:color w:val="70AD47" w:themeColor="accent6"/>
          <w:sz w:val="28"/>
          <w:szCs w:val="28"/>
          <w:rtl/>
          <w:lang w:bidi="ar"/>
        </w:rPr>
        <w:t xml:space="preserve"> ما تقول في رجل فجر بامرأة فحملت ثمّ إنّه تزوّجها بعد الحمل فجاءت بولد وهو أشبه خلق الله به</w:t>
      </w:r>
      <w:r w:rsidR="004A443D" w:rsidRPr="004A443D">
        <w:rPr>
          <w:rFonts w:ascii="Traditional Arabic" w:hAnsi="Traditional Arabic" w:cs="Abz-2 (Badr)" w:hint="cs"/>
          <w:color w:val="70AD47" w:themeColor="accent6"/>
          <w:sz w:val="28"/>
          <w:szCs w:val="28"/>
          <w:rtl/>
          <w:lang w:bidi="ar"/>
        </w:rPr>
        <w:t>؟</w:t>
      </w:r>
      <w:r w:rsidR="004A443D" w:rsidRPr="004A443D">
        <w:rPr>
          <w:rFonts w:ascii="Traditional Arabic" w:hAnsi="Traditional Arabic" w:cs="Abz-2 (Badr)"/>
          <w:color w:val="70AD47" w:themeColor="accent6"/>
          <w:sz w:val="28"/>
          <w:szCs w:val="28"/>
          <w:rtl/>
          <w:lang w:bidi="ar"/>
        </w:rPr>
        <w:t xml:space="preserve"> فكتب</w:t>
      </w:r>
      <w:r w:rsidR="004A443D" w:rsidRPr="004A443D">
        <w:rPr>
          <w:rFonts w:ascii="Traditional Arabic" w:hAnsi="Traditional Arabic" w:cs="Abz-2 (Badr)" w:hint="cs"/>
          <w:color w:val="70AD47" w:themeColor="accent6"/>
          <w:sz w:val="28"/>
          <w:szCs w:val="28"/>
          <w:rtl/>
          <w:lang w:bidi="ar"/>
        </w:rPr>
        <w:t>(ع)</w:t>
      </w:r>
      <w:r w:rsidR="004A443D" w:rsidRPr="004A443D">
        <w:rPr>
          <w:rFonts w:ascii="Traditional Arabic" w:hAnsi="Traditional Arabic" w:cs="Abz-2 (Badr)"/>
          <w:color w:val="70AD47" w:themeColor="accent6"/>
          <w:sz w:val="28"/>
          <w:szCs w:val="28"/>
          <w:rtl/>
          <w:lang w:bidi="ar"/>
        </w:rPr>
        <w:t xml:space="preserve"> بخطّه وخاتمه</w:t>
      </w:r>
      <w:r w:rsidR="004A443D" w:rsidRPr="004A443D">
        <w:rPr>
          <w:rFonts w:ascii="Traditional Arabic" w:hAnsi="Traditional Arabic" w:cs="Abz-2 (Badr)" w:hint="cs"/>
          <w:color w:val="70AD47" w:themeColor="accent6"/>
          <w:sz w:val="28"/>
          <w:szCs w:val="28"/>
          <w:rtl/>
          <w:lang w:bidi="ar"/>
        </w:rPr>
        <w:t>:</w:t>
      </w:r>
      <w:r w:rsidR="004A443D" w:rsidRPr="004A443D">
        <w:rPr>
          <w:rFonts w:ascii="Traditional Arabic" w:hAnsi="Traditional Arabic" w:cs="Abz-2 (Badr)"/>
          <w:color w:val="70AD47" w:themeColor="accent6"/>
          <w:sz w:val="28"/>
          <w:szCs w:val="28"/>
          <w:rtl/>
          <w:lang w:bidi="ar"/>
        </w:rPr>
        <w:t xml:space="preserve"> الولد لغيّة لا يورث</w:t>
      </w:r>
      <w:r w:rsidR="004A443D" w:rsidRPr="004A443D">
        <w:rPr>
          <w:rFonts w:ascii="Traditional Arabic" w:hAnsi="Traditional Arabic" w:cs="Abz-2 (Badr)" w:hint="cs"/>
          <w:color w:val="70AD47" w:themeColor="accent6"/>
          <w:sz w:val="28"/>
          <w:szCs w:val="28"/>
          <w:rtl/>
          <w:lang w:bidi="ar"/>
        </w:rPr>
        <w:t>.</w:t>
      </w:r>
      <w:r w:rsidR="004A443D" w:rsidRPr="004A443D">
        <w:rPr>
          <w:rFonts w:ascii="Traditional Arabic" w:hAnsi="Traditional Arabic" w:cs="Abz-2 (Badr)"/>
          <w:color w:val="70AD47" w:themeColor="accent6"/>
          <w:sz w:val="28"/>
          <w:szCs w:val="28"/>
          <w:rtl/>
          <w:lang w:bidi="ar"/>
        </w:rPr>
        <w:t>»</w:t>
      </w:r>
      <w:r w:rsidR="004A443D" w:rsidRPr="00715C13">
        <w:rPr>
          <w:rStyle w:val="FootnoteReference"/>
          <w:rFonts w:ascii="Traditional Arabic" w:hAnsi="Traditional Arabic" w:cs="Abz-2 (Badr)"/>
          <w:color w:val="000000" w:themeColor="text1"/>
          <w:sz w:val="28"/>
          <w:szCs w:val="28"/>
          <w:rtl/>
          <w:lang w:bidi="ar"/>
        </w:rPr>
        <w:footnoteReference w:id="3"/>
      </w:r>
    </w:p>
    <w:p w14:paraId="7CAC1B66" w14:textId="03550A65" w:rsidR="00DF0910" w:rsidRDefault="00DF0910" w:rsidP="00DF0910">
      <w:pPr>
        <w:widowControl w:val="0"/>
        <w:bidi/>
        <w:spacing w:after="0" w:line="252" w:lineRule="auto"/>
        <w:ind w:firstLine="284"/>
        <w:jc w:val="both"/>
        <w:rPr>
          <w:rFonts w:ascii="Traditional Arabic" w:hAnsi="Traditional Arabic" w:cs="Abz-2 (Badr)"/>
          <w:color w:val="000000" w:themeColor="text1"/>
          <w:sz w:val="28"/>
          <w:szCs w:val="28"/>
          <w:rtl/>
          <w:lang w:bidi="ar"/>
        </w:rPr>
      </w:pPr>
      <w:r w:rsidRPr="00DF0910">
        <w:rPr>
          <w:rFonts w:ascii="Traditional Arabic" w:hAnsi="Traditional Arabic" w:cs="Abz-2 (Badr)" w:hint="cs"/>
          <w:color w:val="000000" w:themeColor="text1"/>
          <w:sz w:val="28"/>
          <w:szCs w:val="28"/>
          <w:rtl/>
          <w:lang w:bidi="ar"/>
        </w:rPr>
        <w:t xml:space="preserve">اين روايت از حيث سند، </w:t>
      </w:r>
      <w:r>
        <w:rPr>
          <w:rFonts w:ascii="Traditional Arabic" w:hAnsi="Traditional Arabic" w:cs="Abz-2 (Badr)" w:hint="cs"/>
          <w:color w:val="000000" w:themeColor="text1"/>
          <w:sz w:val="28"/>
          <w:szCs w:val="28"/>
          <w:rtl/>
          <w:lang w:bidi="ar"/>
        </w:rPr>
        <w:t>دارای اين اشکال است که محمّد بن الحسن القمّی، مشترک بين محمّد بن الحسن القمّی است که شيخ او را مدح کرده و برخی او را همان محمّد بن الحسن بن بندار دانسته</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اند</w:t>
      </w:r>
      <w:r w:rsidRPr="00715C13">
        <w:rPr>
          <w:rStyle w:val="FootnoteReference"/>
          <w:rFonts w:ascii="Traditional Arabic" w:hAnsi="Traditional Arabic" w:cs="Abz-2 (Badr)"/>
          <w:color w:val="000000" w:themeColor="text1"/>
          <w:sz w:val="28"/>
          <w:szCs w:val="28"/>
          <w:rtl/>
          <w:lang w:bidi="ar"/>
        </w:rPr>
        <w:footnoteReference w:id="4"/>
      </w:r>
      <w:r>
        <w:rPr>
          <w:rFonts w:ascii="Traditional Arabic" w:hAnsi="Traditional Arabic" w:cs="Abz-2 (Badr)" w:hint="cs"/>
          <w:color w:val="000000" w:themeColor="text1"/>
          <w:sz w:val="28"/>
          <w:szCs w:val="28"/>
          <w:rtl/>
          <w:lang w:bidi="ar"/>
        </w:rPr>
        <w:t xml:space="preserve"> که در نتيجه اگر ناقل روايت وی باشد،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توان روايت را حسنه و يا حتی صحيحه دانست، و بين محمّد بن الحسن بن ابی خالد اشعری معروف به شنبوله که مجهول است و توثيق يا مدح و ذمی ندارد.</w:t>
      </w:r>
    </w:p>
    <w:p w14:paraId="749EBE53" w14:textId="2E37C0CE" w:rsidR="00DF0910" w:rsidRPr="004A443D" w:rsidRDefault="00DF0910" w:rsidP="00DF0910">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ar"/>
        </w:rPr>
        <w:t>بلکه قرائنی وجود دارد که دلالت بر تعيّن او در فرد دوم دارد، و آن اين که همين روايت را کلينی و صدوق با سندهای ديگری نقل کرده</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اند.</w:t>
      </w:r>
    </w:p>
    <w:p w14:paraId="4E962C97" w14:textId="2B7E66C0" w:rsidR="004A443D" w:rsidRDefault="00DF0910" w:rsidP="004A443D">
      <w:pPr>
        <w:widowControl w:val="0"/>
        <w:bidi/>
        <w:spacing w:after="0" w:line="252" w:lineRule="auto"/>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روی</w:t>
      </w:r>
      <w:r w:rsidR="004A443D">
        <w:rPr>
          <w:rFonts w:ascii="Traditional Arabic" w:hAnsi="Traditional Arabic" w:cs="Abz-2 (Badr)" w:hint="cs"/>
          <w:color w:val="000000" w:themeColor="text1"/>
          <w:sz w:val="28"/>
          <w:szCs w:val="28"/>
          <w:rtl/>
          <w:lang w:bidi="ar"/>
        </w:rPr>
        <w:t xml:space="preserve"> الکليني عن </w:t>
      </w:r>
      <w:r w:rsidR="004A443D" w:rsidRPr="004A443D">
        <w:rPr>
          <w:rFonts w:ascii="Traditional Arabic" w:hAnsi="Traditional Arabic" w:cs="Abz-2 (Badr)"/>
          <w:color w:val="000000" w:themeColor="text1"/>
          <w:sz w:val="28"/>
          <w:szCs w:val="28"/>
          <w:rtl/>
          <w:lang w:bidi="ar"/>
        </w:rPr>
        <w:t>عدّة</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من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أصحابنا</w:t>
      </w:r>
      <w:r w:rsidR="004A443D">
        <w:rPr>
          <w:rFonts w:ascii="Traditional Arabic" w:hAnsi="Traditional Arabic" w:cs="Abz-2 (Badr)" w:hint="cs"/>
          <w:color w:val="000000" w:themeColor="text1"/>
          <w:sz w:val="28"/>
          <w:szCs w:val="28"/>
          <w:rtl/>
          <w:lang w:bidi="ar"/>
        </w:rPr>
        <w:t>،</w:t>
      </w:r>
      <w:r w:rsidR="004A443D" w:rsidRPr="004A443D">
        <w:rPr>
          <w:rFonts w:ascii="Traditional Arabic" w:hAnsi="Traditional Arabic" w:cs="Abz-2 (Badr)"/>
          <w:color w:val="000000" w:themeColor="text1"/>
          <w:sz w:val="28"/>
          <w:szCs w:val="28"/>
          <w:rtl/>
          <w:lang w:bidi="ar"/>
        </w:rPr>
        <w:t xml:space="preserve"> عن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سهل</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بن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زياد</w:t>
      </w:r>
      <w:r w:rsidR="004A443D">
        <w:rPr>
          <w:rFonts w:ascii="Traditional Arabic" w:hAnsi="Traditional Arabic" w:cs="Abz-2 (Badr)" w:hint="cs"/>
          <w:color w:val="000000" w:themeColor="text1"/>
          <w:sz w:val="28"/>
          <w:szCs w:val="28"/>
          <w:rtl/>
          <w:lang w:bidi="ar"/>
        </w:rPr>
        <w:t>،</w:t>
      </w:r>
      <w:r w:rsidR="004A443D" w:rsidRPr="004A443D">
        <w:rPr>
          <w:rFonts w:ascii="Traditional Arabic" w:hAnsi="Traditional Arabic" w:cs="Abz-2 (Badr)"/>
          <w:color w:val="000000" w:themeColor="text1"/>
          <w:sz w:val="28"/>
          <w:szCs w:val="28"/>
          <w:rtl/>
          <w:lang w:bidi="ar"/>
        </w:rPr>
        <w:t xml:space="preserve"> عن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علي</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بن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مهزيار</w:t>
      </w:r>
      <w:r w:rsidR="004A443D">
        <w:rPr>
          <w:rFonts w:ascii="Traditional Arabic" w:hAnsi="Traditional Arabic" w:cs="Abz-2 (Badr)" w:hint="cs"/>
          <w:color w:val="000000" w:themeColor="text1"/>
          <w:sz w:val="28"/>
          <w:szCs w:val="28"/>
          <w:rtl/>
          <w:lang w:bidi="ar"/>
        </w:rPr>
        <w:t>،</w:t>
      </w:r>
      <w:r w:rsidR="004A443D" w:rsidRPr="004A443D">
        <w:rPr>
          <w:rFonts w:ascii="Traditional Arabic" w:hAnsi="Traditional Arabic" w:cs="Abz-2 (Badr)"/>
          <w:color w:val="000000" w:themeColor="text1"/>
          <w:sz w:val="28"/>
          <w:szCs w:val="28"/>
          <w:rtl/>
          <w:lang w:bidi="ar"/>
        </w:rPr>
        <w:t xml:space="preserve"> عن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محمّد بن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الحسن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الأشعري</w:t>
      </w:r>
      <w:r w:rsidR="004A443D">
        <w:rPr>
          <w:rFonts w:ascii="Traditional Arabic" w:hAnsi="Traditional Arabic" w:cs="Abz-2 (Badr)" w:hint="cs"/>
          <w:color w:val="000000" w:themeColor="text1"/>
          <w:sz w:val="28"/>
          <w:szCs w:val="28"/>
          <w:rtl/>
          <w:lang w:bidi="ar"/>
        </w:rPr>
        <w:t>،</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 xml:space="preserve">قال: </w:t>
      </w:r>
      <w:r w:rsidR="004A443D" w:rsidRPr="004A443D">
        <w:rPr>
          <w:rFonts w:ascii="Traditional Arabic" w:hAnsi="Traditional Arabic" w:cs="Abz-2 (Badr)" w:hint="cs"/>
          <w:color w:val="70AD47" w:themeColor="accent6"/>
          <w:sz w:val="28"/>
          <w:szCs w:val="28"/>
          <w:rtl/>
          <w:lang w:bidi="ar"/>
        </w:rPr>
        <w:t>«</w:t>
      </w:r>
      <w:r w:rsidR="004A443D" w:rsidRPr="004A443D">
        <w:rPr>
          <w:rFonts w:ascii="Traditional Arabic" w:hAnsi="Traditional Arabic" w:cs="Abz-2 (Badr)"/>
          <w:color w:val="70AD47" w:themeColor="accent6"/>
          <w:sz w:val="28"/>
          <w:szCs w:val="28"/>
          <w:rtl/>
          <w:lang w:bidi="ar"/>
        </w:rPr>
        <w:t xml:space="preserve">كتب </w:t>
      </w:r>
      <w:r w:rsidR="004A443D" w:rsidRPr="004A443D">
        <w:rPr>
          <w:rFonts w:ascii="Traditional Arabic" w:hAnsi="Traditional Arabic" w:cs="Abz-2 (Badr)"/>
          <w:color w:val="70AD47" w:themeColor="accent6"/>
          <w:sz w:val="28"/>
          <w:szCs w:val="28"/>
          <w:rtl/>
          <w:lang w:bidi="ar"/>
        </w:rPr>
        <w:lastRenderedPageBreak/>
        <w:t>بعض أصحابنا إلى أبي جعفر الثاني</w:t>
      </w:r>
      <w:r w:rsidR="004A443D" w:rsidRPr="004A443D">
        <w:rPr>
          <w:rFonts w:ascii="Traditional Arabic" w:hAnsi="Traditional Arabic" w:cs="Abz-2 (Badr)" w:hint="cs"/>
          <w:color w:val="70AD47" w:themeColor="accent6"/>
          <w:sz w:val="28"/>
          <w:szCs w:val="28"/>
          <w:rtl/>
          <w:lang w:bidi="ar"/>
        </w:rPr>
        <w:t>(ع)</w:t>
      </w:r>
      <w:r w:rsidR="004A443D" w:rsidRPr="004A443D">
        <w:rPr>
          <w:rFonts w:ascii="Traditional Arabic" w:hAnsi="Traditional Arabic" w:cs="Abz-2 (Badr)"/>
          <w:color w:val="70AD47" w:themeColor="accent6"/>
          <w:sz w:val="28"/>
          <w:szCs w:val="28"/>
          <w:rtl/>
          <w:lang w:bidi="ar"/>
        </w:rPr>
        <w:t xml:space="preserve"> معي يسأله عن رجل فجر بامرأة ثمّ إنّه تزوّجها بعد الحمل فجاءت بولد وهو أشبه خلق الله به</w:t>
      </w:r>
      <w:r w:rsidR="004A443D" w:rsidRPr="004A443D">
        <w:rPr>
          <w:rFonts w:ascii="Traditional Arabic" w:hAnsi="Traditional Arabic" w:cs="Abz-2 (Badr)" w:hint="cs"/>
          <w:color w:val="70AD47" w:themeColor="accent6"/>
          <w:sz w:val="28"/>
          <w:szCs w:val="28"/>
          <w:rtl/>
          <w:lang w:bidi="ar"/>
        </w:rPr>
        <w:t>؟</w:t>
      </w:r>
      <w:r w:rsidR="004A443D" w:rsidRPr="004A443D">
        <w:rPr>
          <w:rFonts w:ascii="Traditional Arabic" w:hAnsi="Traditional Arabic" w:cs="Abz-2 (Badr)"/>
          <w:color w:val="70AD47" w:themeColor="accent6"/>
          <w:sz w:val="28"/>
          <w:szCs w:val="28"/>
          <w:rtl/>
          <w:lang w:bidi="ar"/>
        </w:rPr>
        <w:t xml:space="preserve"> فكتب بخطّه وخاتمه</w:t>
      </w:r>
      <w:r w:rsidR="004A443D" w:rsidRPr="004A443D">
        <w:rPr>
          <w:rFonts w:ascii="Traditional Arabic" w:hAnsi="Traditional Arabic" w:cs="Abz-2 (Badr)" w:hint="cs"/>
          <w:color w:val="70AD47" w:themeColor="accent6"/>
          <w:sz w:val="28"/>
          <w:szCs w:val="28"/>
          <w:rtl/>
          <w:lang w:bidi="ar"/>
        </w:rPr>
        <w:t>:</w:t>
      </w:r>
      <w:r w:rsidR="004A443D" w:rsidRPr="004A443D">
        <w:rPr>
          <w:rFonts w:ascii="Traditional Arabic" w:hAnsi="Traditional Arabic" w:cs="Abz-2 (Badr)"/>
          <w:color w:val="70AD47" w:themeColor="accent6"/>
          <w:sz w:val="28"/>
          <w:szCs w:val="28"/>
          <w:rtl/>
          <w:lang w:bidi="ar"/>
        </w:rPr>
        <w:t xml:space="preserve"> الولد لغيّة لا يورث.</w:t>
      </w:r>
      <w:r w:rsidR="004A443D" w:rsidRPr="004A443D">
        <w:rPr>
          <w:rFonts w:ascii="Traditional Arabic" w:hAnsi="Traditional Arabic" w:cs="Abz-2 (Badr)" w:hint="cs"/>
          <w:color w:val="70AD47" w:themeColor="accent6"/>
          <w:sz w:val="28"/>
          <w:szCs w:val="28"/>
          <w:rtl/>
          <w:lang w:bidi="ar"/>
        </w:rPr>
        <w:t>»</w:t>
      </w:r>
      <w:r w:rsidR="004A443D" w:rsidRPr="00715C13">
        <w:rPr>
          <w:rStyle w:val="FootnoteReference"/>
          <w:rFonts w:ascii="Traditional Arabic" w:hAnsi="Traditional Arabic" w:cs="Abz-2 (Badr)"/>
          <w:color w:val="000000" w:themeColor="text1"/>
          <w:sz w:val="28"/>
          <w:szCs w:val="28"/>
          <w:rtl/>
          <w:lang w:bidi="ar"/>
        </w:rPr>
        <w:footnoteReference w:id="5"/>
      </w:r>
    </w:p>
    <w:p w14:paraId="7AFEE458" w14:textId="3D04716B" w:rsidR="004A443D" w:rsidRDefault="00DF0910" w:rsidP="004A443D">
      <w:pPr>
        <w:widowControl w:val="0"/>
        <w:bidi/>
        <w:spacing w:after="0" w:line="252" w:lineRule="auto"/>
        <w:ind w:firstLine="284"/>
        <w:jc w:val="both"/>
        <w:rPr>
          <w:rFonts w:ascii="Traditional Arabic" w:hAnsi="Traditional Arabic" w:cs="Abz-2 (Badr)"/>
          <w:color w:val="70AD47" w:themeColor="accent6"/>
          <w:sz w:val="28"/>
          <w:szCs w:val="28"/>
          <w:rtl/>
          <w:lang w:bidi="ar"/>
        </w:rPr>
      </w:pPr>
      <w:r>
        <w:rPr>
          <w:rFonts w:ascii="Traditional Arabic" w:hAnsi="Traditional Arabic" w:cs="Abz-2 (Badr)" w:hint="cs"/>
          <w:color w:val="000000" w:themeColor="text1"/>
          <w:sz w:val="28"/>
          <w:szCs w:val="28"/>
          <w:rtl/>
          <w:lang w:bidi="ar"/>
        </w:rPr>
        <w:t xml:space="preserve">وروی </w:t>
      </w:r>
      <w:r w:rsidR="004A443D">
        <w:rPr>
          <w:rFonts w:ascii="Traditional Arabic" w:hAnsi="Traditional Arabic" w:cs="Abz-2 (Badr)" w:hint="cs"/>
          <w:color w:val="000000" w:themeColor="text1"/>
          <w:sz w:val="28"/>
          <w:szCs w:val="28"/>
          <w:rtl/>
          <w:lang w:bidi="ar"/>
        </w:rPr>
        <w:t xml:space="preserve"> الصدوق بإسناده عن </w:t>
      </w:r>
      <w:r w:rsidR="004A443D" w:rsidRPr="004A443D">
        <w:rPr>
          <w:rFonts w:ascii="Traditional Arabic" w:hAnsi="Traditional Arabic" w:cs="Abz-2 (Badr)"/>
          <w:color w:val="000000" w:themeColor="text1"/>
          <w:sz w:val="28"/>
          <w:szCs w:val="28"/>
          <w:rtl/>
          <w:lang w:bidi="ar"/>
        </w:rPr>
        <w:t>الحسين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بن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سعيد</w:t>
      </w:r>
      <w:r w:rsidR="004A443D">
        <w:rPr>
          <w:rFonts w:ascii="Traditional Arabic" w:hAnsi="Traditional Arabic" w:cs="Abz-2 (Badr)" w:hint="cs"/>
          <w:color w:val="000000" w:themeColor="text1"/>
          <w:sz w:val="28"/>
          <w:szCs w:val="28"/>
          <w:rtl/>
          <w:lang w:bidi="ar"/>
        </w:rPr>
        <w:t>،</w:t>
      </w:r>
      <w:r w:rsidR="004A443D" w:rsidRPr="004A443D">
        <w:rPr>
          <w:rFonts w:ascii="Traditional Arabic" w:hAnsi="Traditional Arabic" w:cs="Abz-2 (Badr)"/>
          <w:color w:val="000000" w:themeColor="text1"/>
          <w:sz w:val="28"/>
          <w:szCs w:val="28"/>
          <w:rtl/>
          <w:lang w:bidi="ar"/>
        </w:rPr>
        <w:t xml:space="preserve"> عن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محمّد بن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الحسن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بن</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أبي خالد الأشعري</w:t>
      </w:r>
      <w:r w:rsidR="004A443D">
        <w:rPr>
          <w:rFonts w:ascii="Traditional Arabic" w:hAnsi="Traditional Arabic" w:cs="Abz-2 (Badr)" w:hint="cs"/>
          <w:color w:val="000000" w:themeColor="text1"/>
          <w:sz w:val="28"/>
          <w:szCs w:val="28"/>
          <w:rtl/>
          <w:lang w:bidi="ar"/>
        </w:rPr>
        <w:t>،</w:t>
      </w:r>
      <w:r w:rsidR="004A443D">
        <w:rPr>
          <w:rFonts w:ascii="Traditional Arabic" w:hAnsi="Traditional Arabic" w:cs="Abz-2 (Badr)"/>
          <w:color w:val="000000" w:themeColor="text1"/>
          <w:sz w:val="28"/>
          <w:szCs w:val="28"/>
          <w:rtl/>
          <w:lang w:bidi="ar"/>
        </w:rPr>
        <w:t xml:space="preserve"> </w:t>
      </w:r>
      <w:r w:rsidR="004A443D" w:rsidRPr="004A443D">
        <w:rPr>
          <w:rFonts w:ascii="Traditional Arabic" w:hAnsi="Traditional Arabic" w:cs="Abz-2 (Badr)"/>
          <w:color w:val="000000" w:themeColor="text1"/>
          <w:sz w:val="28"/>
          <w:szCs w:val="28"/>
          <w:rtl/>
          <w:lang w:bidi="ar"/>
        </w:rPr>
        <w:t xml:space="preserve">قال: </w:t>
      </w:r>
      <w:r w:rsidR="004A443D" w:rsidRPr="004A443D">
        <w:rPr>
          <w:rFonts w:ascii="Traditional Arabic" w:hAnsi="Traditional Arabic" w:cs="Abz-2 (Badr)" w:hint="cs"/>
          <w:color w:val="70AD47" w:themeColor="accent6"/>
          <w:sz w:val="28"/>
          <w:szCs w:val="28"/>
          <w:rtl/>
          <w:lang w:bidi="ar"/>
        </w:rPr>
        <w:t>«</w:t>
      </w:r>
      <w:r w:rsidR="004A443D" w:rsidRPr="004A443D">
        <w:rPr>
          <w:rFonts w:ascii="Traditional Arabic" w:hAnsi="Traditional Arabic" w:cs="Abz-2 (Badr)"/>
          <w:color w:val="70AD47" w:themeColor="accent6"/>
          <w:sz w:val="28"/>
          <w:szCs w:val="28"/>
          <w:rtl/>
          <w:lang w:bidi="ar"/>
        </w:rPr>
        <w:t>كتب بعض أصحابنا إلى أبي جعفر الثاني</w:t>
      </w:r>
      <w:r w:rsidR="004A443D" w:rsidRPr="004A443D">
        <w:rPr>
          <w:rFonts w:ascii="Traditional Arabic" w:hAnsi="Traditional Arabic" w:cs="Abz-2 (Badr)" w:hint="cs"/>
          <w:color w:val="70AD47" w:themeColor="accent6"/>
          <w:sz w:val="28"/>
          <w:szCs w:val="28"/>
          <w:rtl/>
          <w:lang w:bidi="ar"/>
        </w:rPr>
        <w:t>(ع)</w:t>
      </w:r>
      <w:r w:rsidR="004A443D" w:rsidRPr="004A443D">
        <w:rPr>
          <w:rFonts w:ascii="Traditional Arabic" w:hAnsi="Traditional Arabic" w:cs="Abz-2 (Badr)"/>
          <w:color w:val="70AD47" w:themeColor="accent6"/>
          <w:sz w:val="28"/>
          <w:szCs w:val="28"/>
          <w:rtl/>
          <w:lang w:bidi="ar"/>
        </w:rPr>
        <w:t xml:space="preserve"> معي يسأله عن رجل فجر بامرأة فحملت ثمّ إنّه تزوّجها بعد الحمل فجاءت بولد والولد أشبه خلق الله به</w:t>
      </w:r>
      <w:r w:rsidR="004A443D" w:rsidRPr="004A443D">
        <w:rPr>
          <w:rFonts w:ascii="Traditional Arabic" w:hAnsi="Traditional Arabic" w:cs="Abz-2 (Badr)" w:hint="cs"/>
          <w:color w:val="70AD47" w:themeColor="accent6"/>
          <w:sz w:val="28"/>
          <w:szCs w:val="28"/>
          <w:rtl/>
          <w:lang w:bidi="ar"/>
        </w:rPr>
        <w:t>؟</w:t>
      </w:r>
      <w:r w:rsidR="004A443D" w:rsidRPr="004A443D">
        <w:rPr>
          <w:rFonts w:ascii="Traditional Arabic" w:hAnsi="Traditional Arabic" w:cs="Abz-2 (Badr)"/>
          <w:color w:val="70AD47" w:themeColor="accent6"/>
          <w:sz w:val="28"/>
          <w:szCs w:val="28"/>
          <w:rtl/>
          <w:lang w:bidi="ar"/>
        </w:rPr>
        <w:t xml:space="preserve"> فكتب</w:t>
      </w:r>
      <w:r w:rsidR="004A443D" w:rsidRPr="004A443D">
        <w:rPr>
          <w:rFonts w:ascii="Traditional Arabic" w:hAnsi="Traditional Arabic" w:cs="Abz-2 (Badr)" w:hint="cs"/>
          <w:color w:val="70AD47" w:themeColor="accent6"/>
          <w:sz w:val="28"/>
          <w:szCs w:val="28"/>
          <w:rtl/>
          <w:lang w:bidi="ar"/>
        </w:rPr>
        <w:t>(ع)</w:t>
      </w:r>
      <w:r w:rsidR="004A443D" w:rsidRPr="004A443D">
        <w:rPr>
          <w:rFonts w:ascii="Traditional Arabic" w:hAnsi="Traditional Arabic" w:cs="Abz-2 (Badr)"/>
          <w:color w:val="70AD47" w:themeColor="accent6"/>
          <w:sz w:val="28"/>
          <w:szCs w:val="28"/>
          <w:rtl/>
          <w:lang w:bidi="ar"/>
        </w:rPr>
        <w:t xml:space="preserve"> بخطّه وخاتمه</w:t>
      </w:r>
      <w:r w:rsidR="004A443D" w:rsidRPr="004A443D">
        <w:rPr>
          <w:rFonts w:ascii="Traditional Arabic" w:hAnsi="Traditional Arabic" w:cs="Abz-2 (Badr)" w:hint="cs"/>
          <w:color w:val="70AD47" w:themeColor="accent6"/>
          <w:sz w:val="28"/>
          <w:szCs w:val="28"/>
          <w:rtl/>
          <w:lang w:bidi="ar"/>
        </w:rPr>
        <w:t>:</w:t>
      </w:r>
      <w:r w:rsidR="004A443D" w:rsidRPr="004A443D">
        <w:rPr>
          <w:rFonts w:ascii="Traditional Arabic" w:hAnsi="Traditional Arabic" w:cs="Abz-2 (Badr)"/>
          <w:color w:val="70AD47" w:themeColor="accent6"/>
          <w:sz w:val="28"/>
          <w:szCs w:val="28"/>
          <w:rtl/>
          <w:lang w:bidi="ar"/>
        </w:rPr>
        <w:t xml:space="preserve"> الولد لغيّة لا يورث</w:t>
      </w:r>
      <w:r w:rsidR="004A443D" w:rsidRPr="004A443D">
        <w:rPr>
          <w:rFonts w:ascii="Traditional Arabic" w:hAnsi="Traditional Arabic" w:cs="Abz-2 (Badr)" w:hint="cs"/>
          <w:color w:val="70AD47" w:themeColor="accent6"/>
          <w:sz w:val="28"/>
          <w:szCs w:val="28"/>
          <w:rtl/>
          <w:lang w:bidi="ar"/>
        </w:rPr>
        <w:t>.</w:t>
      </w:r>
      <w:r w:rsidR="004A443D" w:rsidRPr="004A443D">
        <w:rPr>
          <w:rFonts w:ascii="Traditional Arabic" w:hAnsi="Traditional Arabic" w:cs="Abz-2 (Badr)"/>
          <w:color w:val="70AD47" w:themeColor="accent6"/>
          <w:sz w:val="28"/>
          <w:szCs w:val="28"/>
          <w:rtl/>
          <w:lang w:bidi="ar"/>
        </w:rPr>
        <w:t>»</w:t>
      </w:r>
      <w:r w:rsidR="004A443D" w:rsidRPr="00715C13">
        <w:rPr>
          <w:rStyle w:val="FootnoteReference"/>
          <w:rFonts w:ascii="Traditional Arabic" w:hAnsi="Traditional Arabic" w:cs="Abz-2 (Badr)"/>
          <w:color w:val="000000" w:themeColor="text1"/>
          <w:sz w:val="28"/>
          <w:szCs w:val="28"/>
          <w:rtl/>
          <w:lang w:bidi="ar"/>
        </w:rPr>
        <w:footnoteReference w:id="6"/>
      </w:r>
    </w:p>
    <w:p w14:paraId="3BFC77B9" w14:textId="0763C2E7" w:rsidR="00DF0910" w:rsidRPr="004A443D" w:rsidRDefault="00DF0910" w:rsidP="00DF0910">
      <w:pPr>
        <w:widowControl w:val="0"/>
        <w:bidi/>
        <w:spacing w:after="0" w:line="252" w:lineRule="auto"/>
        <w:ind w:firstLine="284"/>
        <w:jc w:val="both"/>
        <w:rPr>
          <w:rFonts w:ascii="Traditional Arabic" w:hAnsi="Traditional Arabic" w:cs="Abz-2 (Badr)"/>
          <w:color w:val="000000" w:themeColor="text1"/>
          <w:sz w:val="28"/>
          <w:szCs w:val="28"/>
          <w:rtl/>
          <w:lang w:bidi="fa-IR"/>
        </w:rPr>
      </w:pPr>
      <w:r w:rsidRPr="00DF0910">
        <w:rPr>
          <w:rFonts w:ascii="Traditional Arabic" w:hAnsi="Traditional Arabic" w:cs="Abz-2 (Badr)" w:hint="cs"/>
          <w:color w:val="000000" w:themeColor="text1"/>
          <w:sz w:val="28"/>
          <w:szCs w:val="28"/>
          <w:rtl/>
          <w:lang w:bidi="ar"/>
        </w:rPr>
        <w:t>و بر اساس اين دو نقل معلوم می</w:t>
      </w:r>
      <w:r w:rsidRPr="00DF0910">
        <w:rPr>
          <w:rFonts w:ascii="Traditional Arabic" w:hAnsi="Traditional Arabic" w:cs="Abz-2 (Badr)"/>
          <w:color w:val="000000" w:themeColor="text1"/>
          <w:sz w:val="28"/>
          <w:szCs w:val="28"/>
          <w:rtl/>
          <w:lang w:bidi="ar"/>
        </w:rPr>
        <w:softHyphen/>
      </w:r>
      <w:r w:rsidRPr="00DF0910">
        <w:rPr>
          <w:rFonts w:ascii="Traditional Arabic" w:hAnsi="Traditional Arabic" w:cs="Abz-2 (Badr)" w:hint="cs"/>
          <w:color w:val="000000" w:themeColor="text1"/>
          <w:sz w:val="28"/>
          <w:szCs w:val="28"/>
          <w:rtl/>
          <w:lang w:bidi="ar"/>
        </w:rPr>
        <w:t xml:space="preserve">شود که مراد از محمّد بن الحسن القمّي همان ابن ابی خالد اشعری </w:t>
      </w:r>
      <w:r w:rsidR="00EC220B">
        <w:rPr>
          <w:rFonts w:ascii="Traditional Arabic" w:hAnsi="Traditional Arabic" w:cs="Abz-2 (Badr)" w:hint="cs"/>
          <w:color w:val="000000" w:themeColor="text1"/>
          <w:sz w:val="28"/>
          <w:szCs w:val="28"/>
          <w:rtl/>
          <w:lang w:bidi="ar"/>
        </w:rPr>
        <w:t xml:space="preserve">مجهول </w:t>
      </w:r>
      <w:r w:rsidRPr="00DF0910">
        <w:rPr>
          <w:rFonts w:ascii="Traditional Arabic" w:hAnsi="Traditional Arabic" w:cs="Abz-2 (Badr)" w:hint="cs"/>
          <w:color w:val="000000" w:themeColor="text1"/>
          <w:sz w:val="28"/>
          <w:szCs w:val="28"/>
          <w:rtl/>
          <w:lang w:bidi="ar"/>
        </w:rPr>
        <w:t>است.</w:t>
      </w:r>
    </w:p>
    <w:p w14:paraId="7FBBAB98" w14:textId="3CFEA75D" w:rsidR="002F4E9B" w:rsidRPr="002F4E9B" w:rsidRDefault="002F4E9B" w:rsidP="002F4E9B">
      <w:pPr>
        <w:widowControl w:val="0"/>
        <w:bidi/>
        <w:spacing w:after="0" w:line="252"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 xml:space="preserve">البته </w:t>
      </w:r>
      <w:r w:rsidR="00B404DB">
        <w:rPr>
          <w:rFonts w:ascii="Traditional Arabic" w:hAnsi="Traditional Arabic" w:cs="Abz-2 (Badr)" w:hint="cs"/>
          <w:color w:val="000000" w:themeColor="text1"/>
          <w:sz w:val="28"/>
          <w:szCs w:val="28"/>
          <w:rtl/>
          <w:lang w:bidi="fa-IR"/>
        </w:rPr>
        <w:t xml:space="preserve">محمّد باقر </w:t>
      </w:r>
      <w:r>
        <w:rPr>
          <w:rFonts w:ascii="Traditional Arabic" w:hAnsi="Traditional Arabic" w:cs="Abz-2 (Badr)" w:hint="cs"/>
          <w:color w:val="000000" w:themeColor="text1"/>
          <w:sz w:val="28"/>
          <w:szCs w:val="28"/>
          <w:rtl/>
          <w:lang w:bidi="fa-IR"/>
        </w:rPr>
        <w:t xml:space="preserve">مجلسی در خصوص سند روايت گفته است: </w:t>
      </w:r>
      <w:r w:rsidRPr="002F4E9B">
        <w:rPr>
          <w:rFonts w:ascii="Traditional Arabic" w:hAnsi="Traditional Arabic" w:cs="Abz-2 (Badr)" w:hint="cs"/>
          <w:color w:val="0070C0"/>
          <w:sz w:val="28"/>
          <w:szCs w:val="28"/>
          <w:rtl/>
          <w:lang w:bidi="fa-IR"/>
        </w:rPr>
        <w:t>«</w:t>
      </w:r>
      <w:r w:rsidRPr="002F4E9B">
        <w:rPr>
          <w:rFonts w:ascii="Traditional Arabic" w:hAnsi="Traditional Arabic" w:cs="Abz-2 (Badr)"/>
          <w:color w:val="0070C0"/>
          <w:sz w:val="28"/>
          <w:szCs w:val="28"/>
          <w:rtl/>
          <w:lang w:bidi="ar"/>
        </w:rPr>
        <w:t>ضعيف على الأظهر</w:t>
      </w:r>
      <w:r w:rsidRPr="002F4E9B">
        <w:rPr>
          <w:rFonts w:ascii="Traditional Arabic" w:hAnsi="Traditional Arabic" w:cs="Abz-2 (Badr)" w:hint="cs"/>
          <w:color w:val="0070C0"/>
          <w:sz w:val="28"/>
          <w:szCs w:val="28"/>
          <w:rtl/>
          <w:lang w:bidi="ar"/>
        </w:rPr>
        <w:t xml:space="preserve">، </w:t>
      </w:r>
      <w:r w:rsidRPr="002F4E9B">
        <w:rPr>
          <w:rFonts w:ascii="Traditional Arabic" w:hAnsi="Traditional Arabic" w:cs="Abz-2 (Badr)"/>
          <w:color w:val="0070C0"/>
          <w:sz w:val="28"/>
          <w:szCs w:val="28"/>
          <w:rtl/>
          <w:lang w:bidi="ar"/>
        </w:rPr>
        <w:t>إذ الظاهر أن</w:t>
      </w:r>
      <w:r w:rsidRPr="002F4E9B">
        <w:rPr>
          <w:rFonts w:ascii="Traditional Arabic" w:hAnsi="Traditional Arabic" w:cs="Abz-2 (Badr)" w:hint="cs"/>
          <w:color w:val="0070C0"/>
          <w:sz w:val="28"/>
          <w:szCs w:val="28"/>
          <w:rtl/>
          <w:lang w:bidi="ar"/>
        </w:rPr>
        <w:t>ّ</w:t>
      </w:r>
      <w:r w:rsidRPr="002F4E9B">
        <w:rPr>
          <w:rFonts w:ascii="Traditional Arabic" w:hAnsi="Traditional Arabic" w:cs="Abz-2 (Badr)"/>
          <w:color w:val="0070C0"/>
          <w:sz w:val="28"/>
          <w:szCs w:val="28"/>
          <w:rtl/>
          <w:lang w:bidi="ar"/>
        </w:rPr>
        <w:t xml:space="preserve"> محم</w:t>
      </w:r>
      <w:r w:rsidRPr="002F4E9B">
        <w:rPr>
          <w:rFonts w:ascii="Traditional Arabic" w:hAnsi="Traditional Arabic" w:cs="Abz-2 (Badr)" w:hint="cs"/>
          <w:color w:val="0070C0"/>
          <w:sz w:val="28"/>
          <w:szCs w:val="28"/>
          <w:rtl/>
          <w:lang w:bidi="ar"/>
        </w:rPr>
        <w:t>ّ</w:t>
      </w:r>
      <w:r w:rsidRPr="002F4E9B">
        <w:rPr>
          <w:rFonts w:ascii="Traditional Arabic" w:hAnsi="Traditional Arabic" w:cs="Abz-2 (Badr)"/>
          <w:color w:val="0070C0"/>
          <w:sz w:val="28"/>
          <w:szCs w:val="28"/>
          <w:rtl/>
          <w:lang w:bidi="ar"/>
        </w:rPr>
        <w:t>د بن الحسن هو محم</w:t>
      </w:r>
      <w:r w:rsidRPr="002F4E9B">
        <w:rPr>
          <w:rFonts w:ascii="Traditional Arabic" w:hAnsi="Traditional Arabic" w:cs="Abz-2 (Badr)" w:hint="cs"/>
          <w:color w:val="0070C0"/>
          <w:sz w:val="28"/>
          <w:szCs w:val="28"/>
          <w:rtl/>
          <w:lang w:bidi="ar"/>
        </w:rPr>
        <w:t>ّ</w:t>
      </w:r>
      <w:r w:rsidRPr="002F4E9B">
        <w:rPr>
          <w:rFonts w:ascii="Traditional Arabic" w:hAnsi="Traditional Arabic" w:cs="Abz-2 (Badr)"/>
          <w:color w:val="0070C0"/>
          <w:sz w:val="28"/>
          <w:szCs w:val="28"/>
          <w:rtl/>
          <w:lang w:bidi="ar"/>
        </w:rPr>
        <w:t>د الحسن بن جمهور العمي الضعيف.</w:t>
      </w:r>
      <w:r w:rsidRPr="002F4E9B">
        <w:rPr>
          <w:rFonts w:ascii="Traditional Arabic" w:hAnsi="Traditional Arabic" w:cs="Abz-2 (Badr)" w:hint="cs"/>
          <w:color w:val="0070C0"/>
          <w:sz w:val="28"/>
          <w:szCs w:val="28"/>
          <w:rtl/>
          <w:lang w:bidi="ar"/>
        </w:rPr>
        <w:t>»</w:t>
      </w:r>
      <w:r w:rsidRPr="00715C13">
        <w:rPr>
          <w:rStyle w:val="FootnoteReference"/>
          <w:rFonts w:ascii="Traditional Arabic" w:hAnsi="Traditional Arabic" w:cs="Abz-2 (Badr)"/>
          <w:color w:val="000000" w:themeColor="text1"/>
          <w:sz w:val="28"/>
          <w:szCs w:val="28"/>
          <w:rtl/>
          <w:lang w:bidi="ar"/>
        </w:rPr>
        <w:footnoteReference w:id="7"/>
      </w:r>
    </w:p>
    <w:p w14:paraId="180965C7" w14:textId="0BE82A2F" w:rsidR="002F4E9B" w:rsidRPr="002F4E9B" w:rsidRDefault="002F4E9B" w:rsidP="002F4E9B">
      <w:pPr>
        <w:widowControl w:val="0"/>
        <w:bidi/>
        <w:spacing w:after="0" w:line="252" w:lineRule="auto"/>
        <w:ind w:firstLine="284"/>
        <w:jc w:val="both"/>
        <w:rPr>
          <w:rFonts w:ascii="Traditional Arabic" w:hAnsi="Traditional Arabic" w:cs="Abz-2 (Badr)"/>
          <w:color w:val="000000" w:themeColor="text1"/>
          <w:sz w:val="28"/>
          <w:szCs w:val="28"/>
          <w:lang w:bidi="fa-IR"/>
        </w:rPr>
      </w:pPr>
      <w:r>
        <w:rPr>
          <w:rFonts w:ascii="Traditional Arabic" w:hAnsi="Traditional Arabic" w:cs="Abz-2 (Badr)" w:hint="cs"/>
          <w:color w:val="000000" w:themeColor="text1"/>
          <w:sz w:val="28"/>
          <w:szCs w:val="28"/>
          <w:rtl/>
          <w:lang w:bidi="fa-IR"/>
        </w:rPr>
        <w:t xml:space="preserve">مراد از محمّد بن جمهور العمی نيز محمّد بن الحسن بن جمهور، أبو عبدالله العمی است که نجاشی در خصوص وی گفته است: </w:t>
      </w:r>
      <w:r w:rsidRPr="002F4E9B">
        <w:rPr>
          <w:rFonts w:ascii="Traditional Arabic" w:hAnsi="Traditional Arabic" w:cs="Abz-2 (Badr)" w:hint="cs"/>
          <w:color w:val="0070C0"/>
          <w:sz w:val="28"/>
          <w:szCs w:val="28"/>
          <w:rtl/>
          <w:lang w:bidi="fa-IR"/>
        </w:rPr>
        <w:t>«ضعيف في الحديث، فاسد المذهب، وقيل فيه أشياء الله أعلم بها من عظمها.»</w:t>
      </w:r>
      <w:r w:rsidRPr="00715C13">
        <w:rPr>
          <w:rStyle w:val="FootnoteReference"/>
          <w:rFonts w:ascii="Traditional Arabic" w:hAnsi="Traditional Arabic" w:cs="Abz-2 (Badr)"/>
          <w:color w:val="000000" w:themeColor="text1"/>
          <w:sz w:val="28"/>
          <w:szCs w:val="28"/>
          <w:rtl/>
          <w:lang w:bidi="ar"/>
        </w:rPr>
        <w:footnoteReference w:id="8"/>
      </w:r>
    </w:p>
    <w:p w14:paraId="323D1510" w14:textId="0A38D545" w:rsidR="002F4E9B" w:rsidRPr="002F4E9B" w:rsidRDefault="002F4E9B" w:rsidP="004A443D">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ولی بر اساس آنچه گذشت معلوم شد که مراد از محمّد بن الحسن القمّ</w:t>
      </w:r>
      <w:r w:rsidR="00B404DB">
        <w:rPr>
          <w:rFonts w:ascii="Traditional Arabic" w:hAnsi="Traditional Arabic" w:cs="Abz-2 (Badr)" w:hint="cs"/>
          <w:color w:val="000000" w:themeColor="text1"/>
          <w:sz w:val="28"/>
          <w:szCs w:val="28"/>
          <w:rtl/>
          <w:lang w:bidi="fa-IR"/>
        </w:rPr>
        <w:t>ی</w:t>
      </w:r>
      <w:r>
        <w:rPr>
          <w:rFonts w:ascii="Traditional Arabic" w:hAnsi="Traditional Arabic" w:cs="Abz-2 (Badr)" w:hint="cs"/>
          <w:color w:val="000000" w:themeColor="text1"/>
          <w:sz w:val="28"/>
          <w:szCs w:val="28"/>
          <w:rtl/>
          <w:lang w:bidi="fa-IR"/>
        </w:rPr>
        <w:t xml:space="preserve"> </w:t>
      </w:r>
      <w:r w:rsidR="00B404DB">
        <w:rPr>
          <w:rFonts w:ascii="Traditional Arabic" w:hAnsi="Traditional Arabic" w:cs="Abz-2 (Badr)" w:hint="cs"/>
          <w:color w:val="000000" w:themeColor="text1"/>
          <w:sz w:val="28"/>
          <w:szCs w:val="28"/>
          <w:rtl/>
          <w:lang w:bidi="fa-IR"/>
        </w:rPr>
        <w:t>نمی</w:t>
      </w:r>
      <w:r w:rsidR="00B404DB">
        <w:rPr>
          <w:rFonts w:ascii="Traditional Arabic" w:hAnsi="Traditional Arabic" w:cs="Abz-2 (Badr)"/>
          <w:color w:val="000000" w:themeColor="text1"/>
          <w:sz w:val="28"/>
          <w:szCs w:val="28"/>
          <w:rtl/>
          <w:lang w:bidi="fa-IR"/>
        </w:rPr>
        <w:softHyphen/>
      </w:r>
      <w:r w:rsidR="00B404DB">
        <w:rPr>
          <w:rFonts w:ascii="Traditional Arabic" w:hAnsi="Traditional Arabic" w:cs="Abz-2 (Badr)" w:hint="cs"/>
          <w:color w:val="000000" w:themeColor="text1"/>
          <w:sz w:val="28"/>
          <w:szCs w:val="28"/>
          <w:rtl/>
          <w:lang w:bidi="fa-IR"/>
        </w:rPr>
        <w:t>تواند ابن جمهور باشد، علاوه بر اين که ابن جمهور بصری است</w:t>
      </w:r>
      <w:r w:rsidR="00B404DB" w:rsidRPr="00715C13">
        <w:rPr>
          <w:rStyle w:val="FootnoteReference"/>
          <w:rFonts w:ascii="Traditional Arabic" w:hAnsi="Traditional Arabic" w:cs="Abz-2 (Badr)"/>
          <w:color w:val="000000" w:themeColor="text1"/>
          <w:sz w:val="28"/>
          <w:szCs w:val="28"/>
          <w:rtl/>
          <w:lang w:bidi="ar"/>
        </w:rPr>
        <w:footnoteReference w:id="9"/>
      </w:r>
      <w:r w:rsidR="00B404DB">
        <w:rPr>
          <w:rFonts w:ascii="Traditional Arabic" w:hAnsi="Traditional Arabic" w:cs="Abz-2 (Badr)" w:hint="cs"/>
          <w:color w:val="000000" w:themeColor="text1"/>
          <w:sz w:val="28"/>
          <w:szCs w:val="28"/>
          <w:rtl/>
          <w:lang w:bidi="fa-IR"/>
        </w:rPr>
        <w:t xml:space="preserve"> نه قمی.</w:t>
      </w:r>
    </w:p>
    <w:p w14:paraId="629872C9" w14:textId="4AAA4AF9" w:rsidR="00E9668D" w:rsidRPr="0004418F" w:rsidRDefault="00EC220B" w:rsidP="009E5077">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همان گونه که گذشت، عدم الحاق در فرض مذکور مطابق با قاعده است و ضعف روايت اشکالی در مطلب ايجاد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کند، حداکثر اين است که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روايت را به عنوان مؤيّد قاعده مد نظر قرار داد.</w:t>
      </w:r>
    </w:p>
    <w:sectPr w:rsidR="00E9668D" w:rsidRPr="0004418F" w:rsidSect="002478CF">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7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50CF1" w14:textId="77777777" w:rsidR="00E4377E" w:rsidRDefault="00E4377E" w:rsidP="00F71127">
      <w:pPr>
        <w:spacing w:after="0" w:line="240" w:lineRule="auto"/>
      </w:pPr>
      <w:r>
        <w:separator/>
      </w:r>
    </w:p>
  </w:endnote>
  <w:endnote w:type="continuationSeparator" w:id="0">
    <w:p w14:paraId="044784FC" w14:textId="77777777" w:rsidR="00E4377E" w:rsidRDefault="00E4377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6F8B1" w14:textId="77777777" w:rsidR="002478CF" w:rsidRDefault="002478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FDD81" w14:textId="77777777" w:rsidR="002478CF" w:rsidRDefault="002478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1D35F" w14:textId="77777777" w:rsidR="00E4377E" w:rsidRDefault="00E4377E" w:rsidP="00EE25C0">
      <w:pPr>
        <w:bidi/>
        <w:spacing w:after="0" w:line="240" w:lineRule="auto"/>
      </w:pPr>
      <w:r>
        <w:separator/>
      </w:r>
    </w:p>
  </w:footnote>
  <w:footnote w:type="continuationSeparator" w:id="0">
    <w:p w14:paraId="14C6D847" w14:textId="77777777" w:rsidR="00E4377E" w:rsidRDefault="00E4377E" w:rsidP="00F71127">
      <w:pPr>
        <w:bidi/>
        <w:spacing w:after="0" w:line="240" w:lineRule="auto"/>
      </w:pPr>
      <w:r>
        <w:continuationSeparator/>
      </w:r>
    </w:p>
  </w:footnote>
  <w:footnote w:id="1">
    <w:p w14:paraId="4DE742E1" w14:textId="4BF3DDA9" w:rsidR="00763F19" w:rsidRPr="00763F19" w:rsidRDefault="00763F19" w:rsidP="00763F19">
      <w:pPr>
        <w:pStyle w:val="FootnoteText"/>
        <w:bidi/>
        <w:rPr>
          <w:rFonts w:cs="Abz-2 (Badr)"/>
          <w:rtl/>
          <w:lang w:bidi="fa-IR"/>
        </w:rPr>
      </w:pPr>
      <w:r w:rsidRPr="00763F19">
        <w:rPr>
          <w:rStyle w:val="FootnoteReference"/>
          <w:rFonts w:cs="Abz-2 (Badr)"/>
          <w:vertAlign w:val="baseline"/>
        </w:rPr>
        <w:footnoteRef/>
      </w:r>
      <w:r w:rsidRPr="00763F19">
        <w:rPr>
          <w:rFonts w:cs="Abz-2 (Badr)" w:hint="cs"/>
          <w:rtl/>
        </w:rPr>
        <w:t xml:space="preserve"> ـ شرائع،ج2،ص</w:t>
      </w:r>
      <w:r>
        <w:rPr>
          <w:rFonts w:cs="Abz-2 (Badr)" w:hint="cs"/>
          <w:rtl/>
        </w:rPr>
        <w:t>285.</w:t>
      </w:r>
    </w:p>
  </w:footnote>
  <w:footnote w:id="2">
    <w:p w14:paraId="662F9FE0" w14:textId="5F34EDA1" w:rsidR="00715C13" w:rsidRPr="00763F19" w:rsidRDefault="00715C13" w:rsidP="00715C13">
      <w:pPr>
        <w:pStyle w:val="FootnoteText"/>
        <w:bidi/>
        <w:rPr>
          <w:rFonts w:cs="Abz-2 (Badr)"/>
          <w:rtl/>
          <w:lang w:bidi="fa-IR"/>
        </w:rPr>
      </w:pPr>
      <w:r w:rsidRPr="00763F19">
        <w:rPr>
          <w:rStyle w:val="FootnoteReference"/>
          <w:rFonts w:cs="Abz-2 (Badr)"/>
          <w:vertAlign w:val="baseline"/>
        </w:rPr>
        <w:footnoteRef/>
      </w:r>
      <w:r w:rsidRPr="00763F19">
        <w:rPr>
          <w:rFonts w:cs="Abz-2 (Badr)" w:hint="cs"/>
          <w:rtl/>
        </w:rPr>
        <w:t xml:space="preserve"> </w:t>
      </w:r>
      <w:r w:rsidRPr="00763F19">
        <w:rPr>
          <w:rFonts w:cs="Abz-2 (Badr)" w:hint="cs"/>
          <w:rtl/>
        </w:rPr>
        <w:t xml:space="preserve">ـ </w:t>
      </w:r>
      <w:r>
        <w:rPr>
          <w:rFonts w:cs="Abz-2 (Badr)" w:hint="cs"/>
          <w:rtl/>
        </w:rPr>
        <w:t>جواهر</w:t>
      </w:r>
      <w:r w:rsidRPr="00763F19">
        <w:rPr>
          <w:rFonts w:cs="Abz-2 (Badr)" w:hint="cs"/>
          <w:rtl/>
        </w:rPr>
        <w:t>،ج</w:t>
      </w:r>
      <w:r>
        <w:rPr>
          <w:rFonts w:cs="Abz-2 (Badr)" w:hint="cs"/>
          <w:rtl/>
        </w:rPr>
        <w:t>31</w:t>
      </w:r>
      <w:r w:rsidRPr="00763F19">
        <w:rPr>
          <w:rFonts w:cs="Abz-2 (Badr)" w:hint="cs"/>
          <w:rtl/>
        </w:rPr>
        <w:t>،ص</w:t>
      </w:r>
      <w:r>
        <w:rPr>
          <w:rFonts w:cs="Abz-2 (Badr)" w:hint="cs"/>
          <w:rtl/>
        </w:rPr>
        <w:t>236.</w:t>
      </w:r>
    </w:p>
  </w:footnote>
  <w:footnote w:id="3">
    <w:p w14:paraId="6621B711" w14:textId="5933887C" w:rsidR="004A443D" w:rsidRPr="00763F19" w:rsidRDefault="004A443D" w:rsidP="004A443D">
      <w:pPr>
        <w:pStyle w:val="FootnoteText"/>
        <w:bidi/>
        <w:rPr>
          <w:rFonts w:cs="Abz-2 (Badr)"/>
          <w:rtl/>
          <w:lang w:bidi="fa-IR"/>
        </w:rPr>
      </w:pPr>
      <w:r w:rsidRPr="00763F19">
        <w:rPr>
          <w:rStyle w:val="FootnoteReference"/>
          <w:rFonts w:cs="Abz-2 (Badr)"/>
          <w:vertAlign w:val="baseline"/>
        </w:rPr>
        <w:footnoteRef/>
      </w:r>
      <w:r w:rsidRPr="00763F19">
        <w:rPr>
          <w:rFonts w:cs="Abz-2 (Badr)" w:hint="cs"/>
          <w:rtl/>
        </w:rPr>
        <w:t xml:space="preserve"> </w:t>
      </w:r>
      <w:r w:rsidRPr="00763F19">
        <w:rPr>
          <w:rFonts w:cs="Abz-2 (Badr)" w:hint="cs"/>
          <w:rtl/>
        </w:rPr>
        <w:t xml:space="preserve">ـ </w:t>
      </w:r>
      <w:r>
        <w:rPr>
          <w:rFonts w:cs="Abz-2 (Badr)" w:hint="cs"/>
          <w:rtl/>
        </w:rPr>
        <w:t>تهذيب</w:t>
      </w:r>
      <w:r w:rsidRPr="00763F19">
        <w:rPr>
          <w:rFonts w:cs="Abz-2 (Badr)" w:hint="cs"/>
          <w:rtl/>
        </w:rPr>
        <w:t>،ج</w:t>
      </w:r>
      <w:r>
        <w:rPr>
          <w:rFonts w:cs="Abz-2 (Badr)" w:hint="cs"/>
          <w:rtl/>
        </w:rPr>
        <w:t>8</w:t>
      </w:r>
      <w:r w:rsidRPr="00763F19">
        <w:rPr>
          <w:rFonts w:cs="Abz-2 (Badr)" w:hint="cs"/>
          <w:rtl/>
        </w:rPr>
        <w:t>،ص</w:t>
      </w:r>
      <w:r>
        <w:rPr>
          <w:rFonts w:cs="Abz-2 (Badr)" w:hint="cs"/>
          <w:rtl/>
        </w:rPr>
        <w:t>182 و 183،ح637 ـ وسائل،ج21،ص498،ح27688.</w:t>
      </w:r>
    </w:p>
  </w:footnote>
  <w:footnote w:id="4">
    <w:p w14:paraId="657E9BAD" w14:textId="6B90701F" w:rsidR="00DF0910" w:rsidRPr="00763F19" w:rsidRDefault="00DF0910" w:rsidP="00DF0910">
      <w:pPr>
        <w:pStyle w:val="FootnoteText"/>
        <w:bidi/>
        <w:rPr>
          <w:rFonts w:cs="Abz-2 (Badr)"/>
          <w:rtl/>
          <w:lang w:bidi="fa-IR"/>
        </w:rPr>
      </w:pPr>
      <w:r w:rsidRPr="00763F19">
        <w:rPr>
          <w:rStyle w:val="FootnoteReference"/>
          <w:rFonts w:cs="Abz-2 (Badr)"/>
          <w:vertAlign w:val="baseline"/>
        </w:rPr>
        <w:footnoteRef/>
      </w:r>
      <w:r w:rsidRPr="00763F19">
        <w:rPr>
          <w:rFonts w:cs="Abz-2 (Badr)" w:hint="cs"/>
          <w:rtl/>
        </w:rPr>
        <w:t xml:space="preserve"> </w:t>
      </w:r>
      <w:r w:rsidRPr="00763F19">
        <w:rPr>
          <w:rFonts w:cs="Abz-2 (Badr)" w:hint="cs"/>
          <w:rtl/>
        </w:rPr>
        <w:t xml:space="preserve">ـ </w:t>
      </w:r>
      <w:r>
        <w:rPr>
          <w:rFonts w:cs="Abz-2 (Badr)" w:hint="cs"/>
          <w:rtl/>
        </w:rPr>
        <w:t>معجم رجال الحديث،</w:t>
      </w:r>
      <w:r w:rsidRPr="00763F19">
        <w:rPr>
          <w:rFonts w:cs="Abz-2 (Badr)" w:hint="cs"/>
          <w:rtl/>
        </w:rPr>
        <w:t>ج</w:t>
      </w:r>
      <w:r>
        <w:rPr>
          <w:rFonts w:cs="Abz-2 (Badr)" w:hint="cs"/>
          <w:rtl/>
        </w:rPr>
        <w:t>16</w:t>
      </w:r>
      <w:r w:rsidRPr="00763F19">
        <w:rPr>
          <w:rFonts w:cs="Abz-2 (Badr)" w:hint="cs"/>
          <w:rtl/>
        </w:rPr>
        <w:t>،ص</w:t>
      </w:r>
      <w:r>
        <w:rPr>
          <w:rFonts w:cs="Abz-2 (Badr)" w:hint="cs"/>
          <w:rtl/>
        </w:rPr>
        <w:t>280 و 281، رقم 10566.</w:t>
      </w:r>
    </w:p>
  </w:footnote>
  <w:footnote w:id="5">
    <w:p w14:paraId="1477E877" w14:textId="441CB1E3" w:rsidR="004A443D" w:rsidRPr="00763F19" w:rsidRDefault="004A443D" w:rsidP="004A443D">
      <w:pPr>
        <w:pStyle w:val="FootnoteText"/>
        <w:bidi/>
        <w:rPr>
          <w:rFonts w:cs="Abz-2 (Badr)"/>
          <w:rtl/>
          <w:lang w:bidi="fa-IR"/>
        </w:rPr>
      </w:pPr>
      <w:r w:rsidRPr="00763F19">
        <w:rPr>
          <w:rStyle w:val="FootnoteReference"/>
          <w:rFonts w:cs="Abz-2 (Badr)"/>
          <w:vertAlign w:val="baseline"/>
        </w:rPr>
        <w:footnoteRef/>
      </w:r>
      <w:r w:rsidRPr="00763F19">
        <w:rPr>
          <w:rFonts w:cs="Abz-2 (Badr)" w:hint="cs"/>
          <w:rtl/>
        </w:rPr>
        <w:t xml:space="preserve"> </w:t>
      </w:r>
      <w:r w:rsidRPr="00763F19">
        <w:rPr>
          <w:rFonts w:cs="Abz-2 (Badr)" w:hint="cs"/>
          <w:rtl/>
        </w:rPr>
        <w:t xml:space="preserve">ـ </w:t>
      </w:r>
      <w:r>
        <w:rPr>
          <w:rFonts w:cs="Abz-2 (Badr)" w:hint="cs"/>
          <w:rtl/>
        </w:rPr>
        <w:t>کافی</w:t>
      </w:r>
      <w:r w:rsidRPr="00763F19">
        <w:rPr>
          <w:rFonts w:cs="Abz-2 (Badr)" w:hint="cs"/>
          <w:rtl/>
        </w:rPr>
        <w:t>،ج</w:t>
      </w:r>
      <w:r>
        <w:rPr>
          <w:rFonts w:cs="Abz-2 (Badr)" w:hint="cs"/>
          <w:rtl/>
        </w:rPr>
        <w:t>7</w:t>
      </w:r>
      <w:r w:rsidRPr="00763F19">
        <w:rPr>
          <w:rFonts w:cs="Abz-2 (Badr)" w:hint="cs"/>
          <w:rtl/>
        </w:rPr>
        <w:t>،ص</w:t>
      </w:r>
      <w:r>
        <w:rPr>
          <w:rFonts w:cs="Abz-2 (Badr)" w:hint="cs"/>
          <w:rtl/>
        </w:rPr>
        <w:t>164،ح4.</w:t>
      </w:r>
    </w:p>
  </w:footnote>
  <w:footnote w:id="6">
    <w:p w14:paraId="1B225271" w14:textId="475E7697" w:rsidR="004A443D" w:rsidRPr="00763F19" w:rsidRDefault="004A443D" w:rsidP="004A443D">
      <w:pPr>
        <w:pStyle w:val="FootnoteText"/>
        <w:bidi/>
        <w:rPr>
          <w:rFonts w:cs="Abz-2 (Badr)"/>
          <w:rtl/>
          <w:lang w:bidi="fa-IR"/>
        </w:rPr>
      </w:pPr>
      <w:r w:rsidRPr="00763F19">
        <w:rPr>
          <w:rStyle w:val="FootnoteReference"/>
          <w:rFonts w:cs="Abz-2 (Badr)"/>
          <w:vertAlign w:val="baseline"/>
        </w:rPr>
        <w:footnoteRef/>
      </w:r>
      <w:r w:rsidRPr="00763F19">
        <w:rPr>
          <w:rFonts w:cs="Abz-2 (Badr)" w:hint="cs"/>
          <w:rtl/>
        </w:rPr>
        <w:t xml:space="preserve"> </w:t>
      </w:r>
      <w:r w:rsidRPr="00763F19">
        <w:rPr>
          <w:rFonts w:cs="Abz-2 (Badr)" w:hint="cs"/>
          <w:rtl/>
        </w:rPr>
        <w:t xml:space="preserve">ـ </w:t>
      </w:r>
      <w:r>
        <w:rPr>
          <w:rFonts w:cs="Abz-2 (Badr)" w:hint="cs"/>
          <w:rtl/>
        </w:rPr>
        <w:t>من لا يحضره الفقيه</w:t>
      </w:r>
      <w:r w:rsidRPr="00763F19">
        <w:rPr>
          <w:rFonts w:cs="Abz-2 (Badr)" w:hint="cs"/>
          <w:rtl/>
        </w:rPr>
        <w:t>،ج</w:t>
      </w:r>
      <w:r>
        <w:rPr>
          <w:rFonts w:cs="Abz-2 (Badr)" w:hint="cs"/>
          <w:rtl/>
        </w:rPr>
        <w:t>4</w:t>
      </w:r>
      <w:r w:rsidRPr="00763F19">
        <w:rPr>
          <w:rFonts w:cs="Abz-2 (Badr)" w:hint="cs"/>
          <w:rtl/>
        </w:rPr>
        <w:t>،</w:t>
      </w:r>
      <w:r>
        <w:rPr>
          <w:rFonts w:cs="Abz-2 (Badr)" w:hint="cs"/>
          <w:rtl/>
        </w:rPr>
        <w:t>ص316،ح5681.</w:t>
      </w:r>
    </w:p>
  </w:footnote>
  <w:footnote w:id="7">
    <w:p w14:paraId="3D59765B" w14:textId="3974F936" w:rsidR="002F4E9B" w:rsidRPr="00763F19" w:rsidRDefault="002F4E9B" w:rsidP="002F4E9B">
      <w:pPr>
        <w:pStyle w:val="FootnoteText"/>
        <w:bidi/>
        <w:rPr>
          <w:rFonts w:cs="Abz-2 (Badr)"/>
          <w:rtl/>
          <w:lang w:bidi="fa-IR"/>
        </w:rPr>
      </w:pPr>
      <w:r w:rsidRPr="00763F19">
        <w:rPr>
          <w:rStyle w:val="FootnoteReference"/>
          <w:rFonts w:cs="Abz-2 (Badr)"/>
          <w:vertAlign w:val="baseline"/>
        </w:rPr>
        <w:footnoteRef/>
      </w:r>
      <w:r w:rsidRPr="00763F19">
        <w:rPr>
          <w:rFonts w:cs="Abz-2 (Badr)" w:hint="cs"/>
          <w:rtl/>
        </w:rPr>
        <w:t xml:space="preserve"> </w:t>
      </w:r>
      <w:r w:rsidRPr="00763F19">
        <w:rPr>
          <w:rFonts w:cs="Abz-2 (Badr)" w:hint="cs"/>
          <w:rtl/>
        </w:rPr>
        <w:t xml:space="preserve">ـ </w:t>
      </w:r>
      <w:r>
        <w:rPr>
          <w:rFonts w:cs="Abz-2 (Badr)" w:hint="cs"/>
          <w:rtl/>
        </w:rPr>
        <w:t>ملاذ الأخيار</w:t>
      </w:r>
      <w:r w:rsidRPr="00763F19">
        <w:rPr>
          <w:rFonts w:cs="Abz-2 (Badr)" w:hint="cs"/>
          <w:rtl/>
        </w:rPr>
        <w:t>،</w:t>
      </w:r>
      <w:r>
        <w:rPr>
          <w:rFonts w:cs="Abz-2 (Badr)" w:hint="cs"/>
          <w:rtl/>
        </w:rPr>
        <w:t>ج13،</w:t>
      </w:r>
      <w:r w:rsidRPr="00763F19">
        <w:rPr>
          <w:rFonts w:cs="Abz-2 (Badr)" w:hint="cs"/>
          <w:rtl/>
        </w:rPr>
        <w:t>ص</w:t>
      </w:r>
      <w:r>
        <w:rPr>
          <w:rFonts w:cs="Abz-2 (Badr)" w:hint="cs"/>
          <w:rtl/>
        </w:rPr>
        <w:t>354.</w:t>
      </w:r>
    </w:p>
  </w:footnote>
  <w:footnote w:id="8">
    <w:p w14:paraId="458DBA16" w14:textId="36207714" w:rsidR="002F4E9B" w:rsidRPr="00763F19" w:rsidRDefault="002F4E9B" w:rsidP="002F4E9B">
      <w:pPr>
        <w:pStyle w:val="FootnoteText"/>
        <w:bidi/>
        <w:rPr>
          <w:rFonts w:cs="Abz-2 (Badr)"/>
          <w:rtl/>
          <w:lang w:bidi="fa-IR"/>
        </w:rPr>
      </w:pPr>
      <w:r w:rsidRPr="00763F19">
        <w:rPr>
          <w:rStyle w:val="FootnoteReference"/>
          <w:rFonts w:cs="Abz-2 (Badr)"/>
          <w:vertAlign w:val="baseline"/>
        </w:rPr>
        <w:footnoteRef/>
      </w:r>
      <w:r w:rsidRPr="00763F19">
        <w:rPr>
          <w:rFonts w:cs="Abz-2 (Badr)" w:hint="cs"/>
          <w:rtl/>
        </w:rPr>
        <w:t xml:space="preserve"> </w:t>
      </w:r>
      <w:r w:rsidRPr="00763F19">
        <w:rPr>
          <w:rFonts w:cs="Abz-2 (Badr)" w:hint="cs"/>
          <w:rtl/>
        </w:rPr>
        <w:t xml:space="preserve">ـ </w:t>
      </w:r>
      <w:r>
        <w:rPr>
          <w:rFonts w:cs="Abz-2 (Badr)" w:hint="cs"/>
          <w:rtl/>
        </w:rPr>
        <w:t>رجال نجاشی</w:t>
      </w:r>
      <w:r w:rsidRPr="00763F19">
        <w:rPr>
          <w:rFonts w:cs="Abz-2 (Badr)" w:hint="cs"/>
          <w:rtl/>
        </w:rPr>
        <w:t>،ص</w:t>
      </w:r>
      <w:r>
        <w:rPr>
          <w:rFonts w:cs="Abz-2 (Badr)" w:hint="cs"/>
          <w:rtl/>
        </w:rPr>
        <w:t>337، رقم901.</w:t>
      </w:r>
    </w:p>
  </w:footnote>
  <w:footnote w:id="9">
    <w:p w14:paraId="415A7835" w14:textId="5D92C023" w:rsidR="00B404DB" w:rsidRPr="00763F19" w:rsidRDefault="00B404DB" w:rsidP="00B404DB">
      <w:pPr>
        <w:pStyle w:val="FootnoteText"/>
        <w:bidi/>
        <w:rPr>
          <w:rFonts w:cs="Abz-2 (Badr)"/>
          <w:rtl/>
          <w:lang w:bidi="fa-IR"/>
        </w:rPr>
      </w:pPr>
      <w:r w:rsidRPr="00763F19">
        <w:rPr>
          <w:rStyle w:val="FootnoteReference"/>
          <w:rFonts w:cs="Abz-2 (Badr)"/>
          <w:vertAlign w:val="baseline"/>
        </w:rPr>
        <w:footnoteRef/>
      </w:r>
      <w:r w:rsidRPr="00763F19">
        <w:rPr>
          <w:rFonts w:cs="Abz-2 (Badr)" w:hint="cs"/>
          <w:rtl/>
        </w:rPr>
        <w:t xml:space="preserve"> </w:t>
      </w:r>
      <w:r w:rsidRPr="00763F19">
        <w:rPr>
          <w:rFonts w:cs="Abz-2 (Badr)" w:hint="cs"/>
          <w:rtl/>
        </w:rPr>
        <w:t xml:space="preserve">ـ </w:t>
      </w:r>
      <w:r>
        <w:rPr>
          <w:rFonts w:cs="Abz-2 (Badr)" w:hint="cs"/>
          <w:rtl/>
        </w:rPr>
        <w:t>رجال طوسی</w:t>
      </w:r>
      <w:r w:rsidRPr="00763F19">
        <w:rPr>
          <w:rFonts w:cs="Abz-2 (Badr)" w:hint="cs"/>
          <w:rtl/>
        </w:rPr>
        <w:t>،ص</w:t>
      </w:r>
      <w:r>
        <w:rPr>
          <w:rFonts w:cs="Abz-2 (Badr)" w:hint="cs"/>
          <w:rtl/>
        </w:rPr>
        <w:t>364، رقم5404.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4B0AB" w14:textId="77777777" w:rsidR="002478CF" w:rsidRDefault="002478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72E46" w14:textId="293DD976" w:rsidR="002478CF" w:rsidRDefault="002478CF">
    <w:pPr>
      <w:pStyle w:val="Header"/>
    </w:pPr>
    <w:r>
      <w:rPr>
        <w:noProof/>
      </w:rPr>
      <mc:AlternateContent>
        <mc:Choice Requires="wps">
          <w:drawing>
            <wp:anchor distT="45720" distB="45720" distL="114300" distR="114300" simplePos="0" relativeHeight="251661312" behindDoc="0" locked="0" layoutInCell="1" allowOverlap="1" wp14:anchorId="44CC3FBC" wp14:editId="13893D35">
              <wp:simplePos x="0" y="0"/>
              <wp:positionH relativeFrom="margin">
                <wp:posOffset>2201838</wp:posOffset>
              </wp:positionH>
              <wp:positionV relativeFrom="paragraph">
                <wp:posOffset>443133</wp:posOffset>
              </wp:positionV>
              <wp:extent cx="4177665" cy="142748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7665" cy="1427480"/>
                      </a:xfrm>
                      <a:prstGeom prst="rect">
                        <a:avLst/>
                      </a:prstGeom>
                      <a:solidFill>
                        <a:srgbClr val="FFFFFF"/>
                      </a:solidFill>
                      <a:ln w="9525">
                        <a:noFill/>
                        <a:miter lim="800000"/>
                        <a:headEnd/>
                        <a:tailEnd/>
                      </a:ln>
                    </wps:spPr>
                    <wps:txbx>
                      <w:txbxContent>
                        <w:p w14:paraId="1FB4424F" w14:textId="29DDD632" w:rsidR="002478CF" w:rsidRDefault="002478CF" w:rsidP="002478CF">
                          <w:pPr>
                            <w:bidi/>
                            <w:rPr>
                              <w:rFonts w:cs="B Mehr"/>
                            </w:rPr>
                          </w:pPr>
                          <w:r>
                            <w:rPr>
                              <w:rFonts w:cs="B Mehr" w:hint="cs"/>
                              <w:rtl/>
                            </w:rPr>
                            <w:t>تقریر درس خارج فقه،  استاد حاج سید علی موسوی اردبیلی</w:t>
                          </w:r>
                          <w:r>
                            <w:rPr>
                              <w:rFonts w:cs="B Mehr" w:hint="cs"/>
                            </w:rPr>
                            <w:t xml:space="preserve"> </w:t>
                          </w:r>
                        </w:p>
                        <w:p w14:paraId="61608D04" w14:textId="77777777" w:rsidR="002478CF" w:rsidRDefault="002478CF" w:rsidP="002478CF">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500EB4C2" w14:textId="26240D99" w:rsidR="002478CF" w:rsidRDefault="002478CF" w:rsidP="002478CF">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دو</w:t>
                          </w:r>
                          <w:r>
                            <w:rPr>
                              <w:rFonts w:cs="B Mehr" w:hint="cs"/>
                              <w:rtl/>
                              <w:lang w:bidi="fa-IR"/>
                            </w:rPr>
                            <w:t xml:space="preserve"> شنبه </w:t>
                          </w:r>
                          <w:r>
                            <w:rPr>
                              <w:rFonts w:cs="B Mehr" w:hint="cs"/>
                              <w:rtl/>
                            </w:rPr>
                            <w:t xml:space="preserve">،   </w:t>
                          </w:r>
                          <w:r>
                            <w:rPr>
                              <w:rFonts w:cs="B Mehr" w:hint="cs"/>
                              <w:rtl/>
                            </w:rPr>
                            <w:t>24</w:t>
                          </w:r>
                          <w:r>
                            <w:rPr>
                              <w:rFonts w:cs="B Mehr" w:hint="cs"/>
                              <w:rtl/>
                            </w:rPr>
                            <w:t xml:space="preserve">      دی  ماه - 1403ه.ش</w:t>
                          </w:r>
                        </w:p>
                        <w:p w14:paraId="5F395C4D" w14:textId="77777777" w:rsidR="002478CF" w:rsidRDefault="002478CF" w:rsidP="002478CF"/>
                        <w:p w14:paraId="3696F068" w14:textId="77777777" w:rsidR="002478CF" w:rsidRDefault="002478CF" w:rsidP="002478CF"/>
                        <w:p w14:paraId="579197FA" w14:textId="77777777" w:rsidR="002478CF" w:rsidRDefault="002478CF" w:rsidP="002478CF"/>
                        <w:p w14:paraId="078035A1" w14:textId="77777777" w:rsidR="002478CF" w:rsidRDefault="002478CF" w:rsidP="002478CF"/>
                        <w:p w14:paraId="5C9612DD" w14:textId="77777777" w:rsidR="002478CF" w:rsidRDefault="002478CF" w:rsidP="002478CF"/>
                        <w:p w14:paraId="045E9D07" w14:textId="77777777" w:rsidR="002478CF" w:rsidRDefault="002478CF" w:rsidP="002478CF"/>
                        <w:p w14:paraId="3CBAC8DF" w14:textId="77777777" w:rsidR="002478CF" w:rsidRDefault="002478CF" w:rsidP="002478CF"/>
                        <w:p w14:paraId="64B8D6BF" w14:textId="77777777" w:rsidR="002478CF" w:rsidRDefault="002478CF" w:rsidP="002478CF"/>
                        <w:p w14:paraId="22133F05" w14:textId="77777777" w:rsidR="002478CF" w:rsidRDefault="002478CF" w:rsidP="002478CF"/>
                        <w:p w14:paraId="5765704B" w14:textId="77777777" w:rsidR="002478CF" w:rsidRDefault="002478CF" w:rsidP="002478CF"/>
                        <w:p w14:paraId="6991C00A" w14:textId="77777777" w:rsidR="002478CF" w:rsidRDefault="002478CF" w:rsidP="002478CF"/>
                        <w:p w14:paraId="178134D3" w14:textId="77777777" w:rsidR="002478CF" w:rsidRDefault="002478CF" w:rsidP="002478CF"/>
                        <w:p w14:paraId="52D4396D" w14:textId="77777777" w:rsidR="002478CF" w:rsidRDefault="002478CF" w:rsidP="002478CF"/>
                        <w:p w14:paraId="32ABDBF9" w14:textId="77777777" w:rsidR="002478CF" w:rsidRDefault="002478CF" w:rsidP="002478CF"/>
                        <w:p w14:paraId="06229CFA" w14:textId="77777777" w:rsidR="002478CF" w:rsidRDefault="002478CF" w:rsidP="002478CF"/>
                        <w:p w14:paraId="78ECDB2A" w14:textId="77777777" w:rsidR="002478CF" w:rsidRDefault="002478CF" w:rsidP="002478CF"/>
                        <w:p w14:paraId="31A0CAE0" w14:textId="77777777" w:rsidR="002478CF" w:rsidRDefault="002478CF" w:rsidP="002478CF"/>
                        <w:p w14:paraId="0093CD85" w14:textId="77777777" w:rsidR="002478CF" w:rsidRDefault="002478CF" w:rsidP="002478CF"/>
                        <w:p w14:paraId="095518BF" w14:textId="7CFA500C" w:rsidR="002478CF" w:rsidRDefault="002478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CC3FBC" id="_x0000_t202" coordsize="21600,21600" o:spt="202" path="m,l,21600r21600,l21600,xe">
              <v:stroke joinstyle="miter"/>
              <v:path gradientshapeok="t" o:connecttype="rect"/>
            </v:shapetype>
            <v:shape id="Text Box 2" o:spid="_x0000_s1026" type="#_x0000_t202" style="position:absolute;margin-left:173.35pt;margin-top:34.9pt;width:328.95pt;height:112.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" stroked="f">
              <v:textbox>
                <w:txbxContent>
                  <w:p w14:paraId="1FB4424F" w14:textId="29DDD632" w:rsidR="002478CF" w:rsidRDefault="002478CF" w:rsidP="002478CF">
                    <w:pPr>
                      <w:bidi/>
                      <w:rPr>
                        <w:rFonts w:cs="B Mehr"/>
                      </w:rPr>
                    </w:pPr>
                    <w:r>
                      <w:rPr>
                        <w:rFonts w:cs="B Mehr" w:hint="cs"/>
                        <w:rtl/>
                      </w:rPr>
                      <w:t>تقریر درس خارج فقه،  استاد حاج سید علی موسوی اردبیلی</w:t>
                    </w:r>
                    <w:r>
                      <w:rPr>
                        <w:rFonts w:cs="B Mehr" w:hint="cs"/>
                      </w:rPr>
                      <w:t xml:space="preserve"> </w:t>
                    </w:r>
                  </w:p>
                  <w:p w14:paraId="61608D04" w14:textId="77777777" w:rsidR="002478CF" w:rsidRDefault="002478CF" w:rsidP="002478CF">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500EB4C2" w14:textId="26240D99" w:rsidR="002478CF" w:rsidRDefault="002478CF" w:rsidP="002478CF">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دو</w:t>
                    </w:r>
                    <w:r>
                      <w:rPr>
                        <w:rFonts w:cs="B Mehr" w:hint="cs"/>
                        <w:rtl/>
                        <w:lang w:bidi="fa-IR"/>
                      </w:rPr>
                      <w:t xml:space="preserve"> شنبه </w:t>
                    </w:r>
                    <w:r>
                      <w:rPr>
                        <w:rFonts w:cs="B Mehr" w:hint="cs"/>
                        <w:rtl/>
                      </w:rPr>
                      <w:t xml:space="preserve">،   </w:t>
                    </w:r>
                    <w:r>
                      <w:rPr>
                        <w:rFonts w:cs="B Mehr" w:hint="cs"/>
                        <w:rtl/>
                      </w:rPr>
                      <w:t>24</w:t>
                    </w:r>
                    <w:r>
                      <w:rPr>
                        <w:rFonts w:cs="B Mehr" w:hint="cs"/>
                        <w:rtl/>
                      </w:rPr>
                      <w:t xml:space="preserve">      دی  ماه - 1403ه.ش</w:t>
                    </w:r>
                  </w:p>
                  <w:p w14:paraId="5F395C4D" w14:textId="77777777" w:rsidR="002478CF" w:rsidRDefault="002478CF" w:rsidP="002478CF"/>
                  <w:p w14:paraId="3696F068" w14:textId="77777777" w:rsidR="002478CF" w:rsidRDefault="002478CF" w:rsidP="002478CF"/>
                  <w:p w14:paraId="579197FA" w14:textId="77777777" w:rsidR="002478CF" w:rsidRDefault="002478CF" w:rsidP="002478CF"/>
                  <w:p w14:paraId="078035A1" w14:textId="77777777" w:rsidR="002478CF" w:rsidRDefault="002478CF" w:rsidP="002478CF"/>
                  <w:p w14:paraId="5C9612DD" w14:textId="77777777" w:rsidR="002478CF" w:rsidRDefault="002478CF" w:rsidP="002478CF"/>
                  <w:p w14:paraId="045E9D07" w14:textId="77777777" w:rsidR="002478CF" w:rsidRDefault="002478CF" w:rsidP="002478CF"/>
                  <w:p w14:paraId="3CBAC8DF" w14:textId="77777777" w:rsidR="002478CF" w:rsidRDefault="002478CF" w:rsidP="002478CF"/>
                  <w:p w14:paraId="64B8D6BF" w14:textId="77777777" w:rsidR="002478CF" w:rsidRDefault="002478CF" w:rsidP="002478CF"/>
                  <w:p w14:paraId="22133F05" w14:textId="77777777" w:rsidR="002478CF" w:rsidRDefault="002478CF" w:rsidP="002478CF"/>
                  <w:p w14:paraId="5765704B" w14:textId="77777777" w:rsidR="002478CF" w:rsidRDefault="002478CF" w:rsidP="002478CF"/>
                  <w:p w14:paraId="6991C00A" w14:textId="77777777" w:rsidR="002478CF" w:rsidRDefault="002478CF" w:rsidP="002478CF"/>
                  <w:p w14:paraId="178134D3" w14:textId="77777777" w:rsidR="002478CF" w:rsidRDefault="002478CF" w:rsidP="002478CF"/>
                  <w:p w14:paraId="52D4396D" w14:textId="77777777" w:rsidR="002478CF" w:rsidRDefault="002478CF" w:rsidP="002478CF"/>
                  <w:p w14:paraId="32ABDBF9" w14:textId="77777777" w:rsidR="002478CF" w:rsidRDefault="002478CF" w:rsidP="002478CF"/>
                  <w:p w14:paraId="06229CFA" w14:textId="77777777" w:rsidR="002478CF" w:rsidRDefault="002478CF" w:rsidP="002478CF"/>
                  <w:p w14:paraId="78ECDB2A" w14:textId="77777777" w:rsidR="002478CF" w:rsidRDefault="002478CF" w:rsidP="002478CF"/>
                  <w:p w14:paraId="31A0CAE0" w14:textId="77777777" w:rsidR="002478CF" w:rsidRDefault="002478CF" w:rsidP="002478CF"/>
                  <w:p w14:paraId="0093CD85" w14:textId="77777777" w:rsidR="002478CF" w:rsidRDefault="002478CF" w:rsidP="002478CF"/>
                  <w:p w14:paraId="095518BF" w14:textId="7CFA500C" w:rsidR="002478CF" w:rsidRDefault="002478CF"/>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2C334EB" wp14:editId="55D1FA4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F7052" w14:textId="77777777" w:rsidR="002478CF" w:rsidRDefault="002478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523"/>
    <w:rsid w:val="00035CD8"/>
    <w:rsid w:val="00036790"/>
    <w:rsid w:val="00036B68"/>
    <w:rsid w:val="00037004"/>
    <w:rsid w:val="000373FE"/>
    <w:rsid w:val="00040D26"/>
    <w:rsid w:val="00040FC9"/>
    <w:rsid w:val="000419DB"/>
    <w:rsid w:val="0004418F"/>
    <w:rsid w:val="00045243"/>
    <w:rsid w:val="00045A06"/>
    <w:rsid w:val="0004669E"/>
    <w:rsid w:val="00047470"/>
    <w:rsid w:val="00047F82"/>
    <w:rsid w:val="00054579"/>
    <w:rsid w:val="00054C3B"/>
    <w:rsid w:val="00054FF4"/>
    <w:rsid w:val="0005502A"/>
    <w:rsid w:val="00055996"/>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025"/>
    <w:rsid w:val="001347DB"/>
    <w:rsid w:val="00134C8B"/>
    <w:rsid w:val="0013568B"/>
    <w:rsid w:val="0013641F"/>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FFE"/>
    <w:rsid w:val="00197DDA"/>
    <w:rsid w:val="001A04BA"/>
    <w:rsid w:val="001A1180"/>
    <w:rsid w:val="001A139F"/>
    <w:rsid w:val="001A1B2F"/>
    <w:rsid w:val="001A1C65"/>
    <w:rsid w:val="001A2687"/>
    <w:rsid w:val="001A290F"/>
    <w:rsid w:val="001A2B9A"/>
    <w:rsid w:val="001A58DF"/>
    <w:rsid w:val="001A6859"/>
    <w:rsid w:val="001A6D37"/>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308"/>
    <w:rsid w:val="00241443"/>
    <w:rsid w:val="00243040"/>
    <w:rsid w:val="00244904"/>
    <w:rsid w:val="00244C34"/>
    <w:rsid w:val="00244E0C"/>
    <w:rsid w:val="00245A4D"/>
    <w:rsid w:val="00245E9D"/>
    <w:rsid w:val="0024689B"/>
    <w:rsid w:val="00246BDC"/>
    <w:rsid w:val="002477DE"/>
    <w:rsid w:val="002478CF"/>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27BE"/>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4E9B"/>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21"/>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B6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DFD"/>
    <w:rsid w:val="004100C3"/>
    <w:rsid w:val="00410462"/>
    <w:rsid w:val="00411CC3"/>
    <w:rsid w:val="00413049"/>
    <w:rsid w:val="0041335C"/>
    <w:rsid w:val="0041395D"/>
    <w:rsid w:val="0041480C"/>
    <w:rsid w:val="00415D83"/>
    <w:rsid w:val="00416A89"/>
    <w:rsid w:val="00416F43"/>
    <w:rsid w:val="0041737F"/>
    <w:rsid w:val="00417639"/>
    <w:rsid w:val="004217BF"/>
    <w:rsid w:val="00421BF7"/>
    <w:rsid w:val="00422314"/>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DA0"/>
    <w:rsid w:val="00501E11"/>
    <w:rsid w:val="00504523"/>
    <w:rsid w:val="0050477B"/>
    <w:rsid w:val="005049A1"/>
    <w:rsid w:val="005069E4"/>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4993"/>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A782B"/>
    <w:rsid w:val="006B05BA"/>
    <w:rsid w:val="006B0CCD"/>
    <w:rsid w:val="006B0CF9"/>
    <w:rsid w:val="006B12C2"/>
    <w:rsid w:val="006B2294"/>
    <w:rsid w:val="006B234C"/>
    <w:rsid w:val="006B2F35"/>
    <w:rsid w:val="006B3146"/>
    <w:rsid w:val="006B31F3"/>
    <w:rsid w:val="006B4CF8"/>
    <w:rsid w:val="006B5FE1"/>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6F15"/>
    <w:rsid w:val="007574DF"/>
    <w:rsid w:val="00757811"/>
    <w:rsid w:val="007606C7"/>
    <w:rsid w:val="00760B14"/>
    <w:rsid w:val="00761208"/>
    <w:rsid w:val="00763F19"/>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C0D"/>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C7BBC"/>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85C"/>
    <w:rsid w:val="008D1F27"/>
    <w:rsid w:val="008D1F41"/>
    <w:rsid w:val="008D3753"/>
    <w:rsid w:val="008D39E4"/>
    <w:rsid w:val="008D3E09"/>
    <w:rsid w:val="008D44C4"/>
    <w:rsid w:val="008D55B7"/>
    <w:rsid w:val="008D609C"/>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94"/>
    <w:rsid w:val="00957382"/>
    <w:rsid w:val="00957DBA"/>
    <w:rsid w:val="0096032C"/>
    <w:rsid w:val="00960B62"/>
    <w:rsid w:val="00960F2C"/>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9718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4E21"/>
    <w:rsid w:val="00B15B18"/>
    <w:rsid w:val="00B15E53"/>
    <w:rsid w:val="00B167DF"/>
    <w:rsid w:val="00B16A2B"/>
    <w:rsid w:val="00B16F52"/>
    <w:rsid w:val="00B177DA"/>
    <w:rsid w:val="00B178BE"/>
    <w:rsid w:val="00B20507"/>
    <w:rsid w:val="00B2122E"/>
    <w:rsid w:val="00B21721"/>
    <w:rsid w:val="00B22729"/>
    <w:rsid w:val="00B22B97"/>
    <w:rsid w:val="00B23643"/>
    <w:rsid w:val="00B2383F"/>
    <w:rsid w:val="00B23C2C"/>
    <w:rsid w:val="00B240A1"/>
    <w:rsid w:val="00B24408"/>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5FF5"/>
    <w:rsid w:val="00B3640A"/>
    <w:rsid w:val="00B37B82"/>
    <w:rsid w:val="00B40345"/>
    <w:rsid w:val="00B404DB"/>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288"/>
    <w:rsid w:val="00CB79BB"/>
    <w:rsid w:val="00CC08CD"/>
    <w:rsid w:val="00CC241E"/>
    <w:rsid w:val="00CC2540"/>
    <w:rsid w:val="00CC25A0"/>
    <w:rsid w:val="00CC2794"/>
    <w:rsid w:val="00CC319A"/>
    <w:rsid w:val="00CC35B0"/>
    <w:rsid w:val="00CC3BA2"/>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22C8"/>
    <w:rsid w:val="00CF2839"/>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E3A"/>
    <w:rsid w:val="00D27803"/>
    <w:rsid w:val="00D3057E"/>
    <w:rsid w:val="00D309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2DCA"/>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77E"/>
    <w:rsid w:val="00E43AD1"/>
    <w:rsid w:val="00E43AF9"/>
    <w:rsid w:val="00E452D0"/>
    <w:rsid w:val="00E464B7"/>
    <w:rsid w:val="00E46AFD"/>
    <w:rsid w:val="00E4704F"/>
    <w:rsid w:val="00E47445"/>
    <w:rsid w:val="00E47900"/>
    <w:rsid w:val="00E5017B"/>
    <w:rsid w:val="00E50756"/>
    <w:rsid w:val="00E50B22"/>
    <w:rsid w:val="00E50D15"/>
    <w:rsid w:val="00E52105"/>
    <w:rsid w:val="00E523B6"/>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2746"/>
    <w:rsid w:val="00E8372E"/>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68D"/>
    <w:rsid w:val="00E96CFF"/>
    <w:rsid w:val="00EA0F69"/>
    <w:rsid w:val="00EA1232"/>
    <w:rsid w:val="00EA1AB3"/>
    <w:rsid w:val="00EA1B9E"/>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B32"/>
    <w:rsid w:val="00EB46F3"/>
    <w:rsid w:val="00EB4A29"/>
    <w:rsid w:val="00EB6244"/>
    <w:rsid w:val="00EC1281"/>
    <w:rsid w:val="00EC1721"/>
    <w:rsid w:val="00EC220B"/>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17CBB"/>
    <w:rsid w:val="00F22DCF"/>
    <w:rsid w:val="00F248CE"/>
    <w:rsid w:val="00F24CA8"/>
    <w:rsid w:val="00F25A88"/>
    <w:rsid w:val="00F2670D"/>
    <w:rsid w:val="00F275E0"/>
    <w:rsid w:val="00F30676"/>
    <w:rsid w:val="00F30B44"/>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32AB"/>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928"/>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18372</TotalTime>
  <Pages>4</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333</cp:revision>
  <cp:lastPrinted>2025-01-11T07:41:00Z</cp:lastPrinted>
  <dcterms:created xsi:type="dcterms:W3CDTF">2022-10-16T08:36:00Z</dcterms:created>
  <dcterms:modified xsi:type="dcterms:W3CDTF">2025-01-13T07:47:00Z</dcterms:modified>
</cp:coreProperties>
</file>